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7759">
      <w:pPr>
        <w:rPr>
          <w:rFonts w:ascii="宋体" w:hAnsi="宋体" w:eastAsia="宋体"/>
          <w:sz w:val="72"/>
          <w:szCs w:val="72"/>
        </w:rPr>
      </w:pPr>
    </w:p>
    <w:p w14:paraId="2CA3E46C">
      <w:pPr>
        <w:jc w:val="center"/>
        <w:rPr>
          <w:rFonts w:hint="eastAsia" w:ascii="宋体" w:hAnsi="宋体" w:eastAsia="宋体" w:cs="Times New Roman"/>
          <w:b/>
          <w:bCs/>
          <w:sz w:val="72"/>
          <w:szCs w:val="72"/>
          <w:lang w:eastAsia="zh-CN"/>
        </w:rPr>
      </w:pPr>
      <w:r>
        <w:rPr>
          <w:rFonts w:hint="eastAsia" w:ascii="宋体" w:hAnsi="宋体" w:eastAsia="宋体" w:cs="Times New Roman"/>
          <w:b/>
          <w:bCs/>
          <w:sz w:val="72"/>
          <w:szCs w:val="72"/>
          <w:lang w:eastAsia="zh-CN"/>
        </w:rPr>
        <w:t>福田区卫生健康局超高清电子胃肠镜系统批量采购</w:t>
      </w:r>
    </w:p>
    <w:p w14:paraId="1D9D54E2">
      <w:pPr>
        <w:jc w:val="center"/>
        <w:rPr>
          <w:rFonts w:hint="eastAsia" w:ascii="宋体" w:hAnsi="宋体" w:eastAsia="宋体" w:cs="Times New Roman"/>
          <w:b/>
          <w:bCs/>
          <w:sz w:val="72"/>
          <w:szCs w:val="72"/>
          <w:lang w:eastAsia="zh-CN"/>
        </w:rPr>
      </w:pPr>
    </w:p>
    <w:p w14:paraId="30DFE136">
      <w:pPr>
        <w:jc w:val="center"/>
        <w:rPr>
          <w:rFonts w:ascii="宋体" w:hAnsi="宋体" w:eastAsia="宋体" w:cs="Times New Roman"/>
          <w:b/>
          <w:bCs/>
          <w:sz w:val="72"/>
          <w:szCs w:val="72"/>
        </w:rPr>
      </w:pPr>
    </w:p>
    <w:p w14:paraId="11E6C908">
      <w:pPr>
        <w:jc w:val="center"/>
        <w:outlineLvl w:val="9"/>
        <w:rPr>
          <w:rFonts w:hint="eastAsia" w:ascii="宋体" w:hAnsi="宋体" w:eastAsia="宋体" w:cs="Times New Roman"/>
          <w:b/>
          <w:bCs/>
          <w:sz w:val="72"/>
          <w:szCs w:val="72"/>
        </w:rPr>
      </w:pPr>
      <w:r>
        <w:rPr>
          <w:rFonts w:hint="eastAsia" w:ascii="宋体" w:hAnsi="宋体" w:eastAsia="宋体" w:cs="Times New Roman"/>
          <w:b/>
          <w:bCs/>
          <w:sz w:val="72"/>
          <w:szCs w:val="72"/>
        </w:rPr>
        <w:t>采购需求书</w:t>
      </w:r>
    </w:p>
    <w:p w14:paraId="6A9D7194">
      <w:pPr>
        <w:jc w:val="center"/>
        <w:outlineLvl w:val="9"/>
        <w:rPr>
          <w:rFonts w:hint="eastAsia" w:ascii="宋体" w:hAnsi="宋体" w:eastAsia="宋体" w:cs="Times New Roman"/>
          <w:b/>
          <w:bCs/>
          <w:sz w:val="72"/>
          <w:szCs w:val="72"/>
        </w:rPr>
      </w:pPr>
      <w:r>
        <w:rPr>
          <w:rFonts w:hint="eastAsia" w:ascii="宋体" w:hAnsi="宋体" w:eastAsia="宋体" w:cs="Times New Roman"/>
          <w:b/>
          <w:bCs/>
          <w:sz w:val="72"/>
          <w:szCs w:val="72"/>
        </w:rPr>
        <w:t>（征求意见）</w:t>
      </w:r>
    </w:p>
    <w:p w14:paraId="043CAB30">
      <w:pPr>
        <w:pStyle w:val="12"/>
        <w:rPr>
          <w:rFonts w:ascii="宋体" w:hAnsi="宋体" w:eastAsia="宋体" w:cs="Times New Roman"/>
          <w:b/>
          <w:bCs/>
          <w:sz w:val="72"/>
          <w:szCs w:val="72"/>
        </w:rPr>
      </w:pPr>
    </w:p>
    <w:p w14:paraId="684544C2">
      <w:pPr>
        <w:pStyle w:val="13"/>
        <w:rPr>
          <w:rFonts w:ascii="宋体" w:hAnsi="宋体" w:eastAsia="宋体" w:cs="Times New Roman"/>
          <w:b/>
          <w:bCs/>
          <w:sz w:val="72"/>
          <w:szCs w:val="72"/>
        </w:rPr>
      </w:pPr>
    </w:p>
    <w:p w14:paraId="7785D16F">
      <w:pPr>
        <w:jc w:val="both"/>
        <w:rPr>
          <w:rFonts w:ascii="宋体" w:hAnsi="宋体" w:eastAsia="宋体" w:cs="Times New Roman"/>
          <w:b/>
          <w:bCs/>
          <w:sz w:val="72"/>
          <w:szCs w:val="72"/>
        </w:rPr>
      </w:pPr>
    </w:p>
    <w:p w14:paraId="0173A208">
      <w:pPr>
        <w:pStyle w:val="2"/>
      </w:pPr>
      <w:bookmarkStart w:id="6" w:name="_GoBack"/>
      <w:bookmarkEnd w:id="6"/>
    </w:p>
    <w:p w14:paraId="5EF688DD">
      <w:pPr>
        <w:jc w:val="center"/>
        <w:rPr>
          <w:rFonts w:ascii="宋体" w:hAnsi="宋体" w:eastAsia="宋体" w:cs="Times New Roman"/>
          <w:b/>
          <w:bCs/>
          <w:sz w:val="72"/>
          <w:szCs w:val="72"/>
        </w:rPr>
      </w:pPr>
    </w:p>
    <w:p w14:paraId="2FD30D16">
      <w:pPr>
        <w:pStyle w:val="2"/>
      </w:pPr>
    </w:p>
    <w:p w14:paraId="3F72A843">
      <w:pPr>
        <w:jc w:val="center"/>
        <w:rPr>
          <w:rFonts w:ascii="宋体" w:hAnsi="宋体" w:eastAsia="宋体" w:cs="Times New Roman"/>
          <w:b/>
          <w:bCs/>
          <w:sz w:val="28"/>
          <w:szCs w:val="28"/>
        </w:rPr>
      </w:pPr>
      <w:r>
        <w:rPr>
          <w:rFonts w:hint="eastAsia" w:ascii="宋体" w:hAnsi="宋体" w:eastAsia="宋体" w:cs="Times New Roman"/>
          <w:b/>
          <w:bCs/>
          <w:sz w:val="28"/>
          <w:szCs w:val="28"/>
        </w:rPr>
        <w:t>（此版本仅为需求调查使用，最终本项目采购内容以</w:t>
      </w:r>
      <w:r>
        <w:rPr>
          <w:rFonts w:hint="eastAsia" w:ascii="宋体" w:hAnsi="宋体" w:eastAsia="宋体" w:cs="Times New Roman"/>
          <w:b/>
          <w:bCs/>
          <w:sz w:val="28"/>
          <w:szCs w:val="28"/>
          <w:lang w:eastAsia="zh-CN"/>
        </w:rPr>
        <w:t>谈判文件</w:t>
      </w:r>
      <w:r>
        <w:rPr>
          <w:rFonts w:hint="eastAsia" w:ascii="宋体" w:hAnsi="宋体" w:eastAsia="宋体" w:cs="Times New Roman"/>
          <w:b/>
          <w:bCs/>
          <w:sz w:val="28"/>
          <w:szCs w:val="28"/>
        </w:rPr>
        <w:t>为准）</w:t>
      </w:r>
    </w:p>
    <w:p w14:paraId="22EF060A">
      <w:pPr>
        <w:widowControl/>
        <w:spacing w:line="500" w:lineRule="exact"/>
        <w:outlineLvl w:val="0"/>
        <w:rPr>
          <w:rFonts w:ascii="宋体" w:hAnsi="宋体" w:eastAsia="宋体" w:cs="微软雅黑"/>
          <w:color w:val="000000"/>
          <w:kern w:val="0"/>
          <w:sz w:val="36"/>
          <w:szCs w:val="36"/>
          <w:lang w:bidi="ar"/>
        </w:rPr>
      </w:pPr>
      <w:r>
        <w:rPr>
          <w:rFonts w:ascii="宋体" w:hAnsi="宋体" w:eastAsia="宋体"/>
          <w:b/>
          <w:bCs/>
          <w:sz w:val="32"/>
          <w:szCs w:val="32"/>
        </w:rPr>
        <w:br w:type="page"/>
      </w:r>
      <w:r>
        <w:rPr>
          <w:rFonts w:hint="eastAsia" w:ascii="宋体" w:hAnsi="宋体" w:eastAsia="宋体" w:cs="微软雅黑"/>
          <w:color w:val="000000"/>
          <w:kern w:val="0"/>
          <w:sz w:val="36"/>
          <w:szCs w:val="36"/>
          <w:lang w:bidi="ar"/>
        </w:rPr>
        <w:t>项目概况</w:t>
      </w:r>
    </w:p>
    <w:p w14:paraId="455A02A9">
      <w:pPr>
        <w:widowControl/>
        <w:spacing w:before="100" w:beforeAutospacing="1" w:after="100" w:afterAutospacing="1" w:line="405" w:lineRule="atLeast"/>
        <w:ind w:firstLine="420" w:firstLineChars="200"/>
        <w:jc w:val="left"/>
        <w:rPr>
          <w:rFonts w:ascii="宋体" w:hAnsi="宋体" w:eastAsia="宋体" w:cs="宋体"/>
          <w:kern w:val="0"/>
          <w:szCs w:val="21"/>
        </w:rPr>
      </w:pPr>
      <w:r>
        <w:rPr>
          <w:rFonts w:hint="eastAsia" w:ascii="宋体" w:hAnsi="宋体" w:eastAsia="宋体" w:cs="宋体"/>
          <w:kern w:val="0"/>
          <w:szCs w:val="21"/>
        </w:rPr>
        <w:t>本项目</w:t>
      </w:r>
      <w:r>
        <w:rPr>
          <w:rFonts w:hint="eastAsia" w:ascii="宋体" w:hAnsi="宋体" w:eastAsia="宋体" w:cs="宋体"/>
          <w:kern w:val="0"/>
          <w:szCs w:val="21"/>
          <w:highlight w:val="none"/>
        </w:rPr>
        <w:t>拟采购超高清电子胃肠镜系统，具体配置及要求详见采购</w:t>
      </w:r>
      <w:r>
        <w:rPr>
          <w:rFonts w:hint="eastAsia" w:ascii="宋体" w:hAnsi="宋体" w:eastAsia="宋体" w:cs="宋体"/>
          <w:kern w:val="0"/>
          <w:szCs w:val="21"/>
        </w:rPr>
        <w:t>需求。</w:t>
      </w:r>
    </w:p>
    <w:p w14:paraId="6FBA6CD9">
      <w:pPr>
        <w:widowControl/>
        <w:spacing w:line="500" w:lineRule="exact"/>
        <w:outlineLvl w:val="0"/>
        <w:rPr>
          <w:rFonts w:hint="eastAsia" w:ascii="宋体" w:hAnsi="宋体" w:eastAsia="宋体" w:cs="微软雅黑"/>
          <w:color w:val="000000"/>
          <w:kern w:val="0"/>
          <w:sz w:val="36"/>
          <w:szCs w:val="36"/>
          <w:lang w:bidi="ar"/>
        </w:rPr>
      </w:pPr>
      <w:r>
        <w:rPr>
          <w:rFonts w:hint="eastAsia" w:ascii="宋体" w:hAnsi="宋体" w:eastAsia="宋体" w:cs="微软雅黑"/>
          <w:color w:val="000000"/>
          <w:kern w:val="0"/>
          <w:sz w:val="36"/>
          <w:szCs w:val="36"/>
          <w:lang w:bidi="ar"/>
        </w:rPr>
        <w:t>采购需求</w:t>
      </w:r>
    </w:p>
    <w:p w14:paraId="0B816F5D">
      <w:pPr>
        <w:pStyle w:val="72"/>
        <w:widowControl/>
        <w:numPr>
          <w:ilvl w:val="0"/>
          <w:numId w:val="0"/>
        </w:numPr>
        <w:spacing w:line="500" w:lineRule="exact"/>
        <w:ind w:left="1280" w:hanging="720" w:firstLineChars="0"/>
        <w:outlineLvl w:val="1"/>
        <w:rPr>
          <w:rFonts w:ascii="宋体" w:hAnsi="宋体" w:eastAsia="宋体" w:cs="微软雅黑"/>
          <w:color w:val="000000"/>
          <w:kern w:val="0"/>
          <w:sz w:val="36"/>
          <w:szCs w:val="36"/>
          <w:lang w:bidi="ar"/>
        </w:rPr>
      </w:pPr>
      <w:r>
        <w:rPr>
          <w:rFonts w:hint="default" w:ascii="宋体" w:hAnsi="宋体" w:eastAsia="宋体" w:cs="微软雅黑"/>
          <w:color w:val="000000"/>
          <w:kern w:val="0"/>
          <w:sz w:val="36"/>
          <w:szCs w:val="36"/>
          <w:lang w:val="en-US" w:eastAsia="zh-CN" w:bidi="ar"/>
        </w:rPr>
        <w:t>一、</w:t>
      </w:r>
      <w:r>
        <w:rPr>
          <w:rFonts w:hint="eastAsia" w:ascii="宋体" w:hAnsi="宋体" w:eastAsia="宋体" w:cs="微软雅黑"/>
          <w:color w:val="000000"/>
          <w:kern w:val="0"/>
          <w:sz w:val="36"/>
          <w:szCs w:val="36"/>
          <w:lang w:bidi="ar"/>
        </w:rPr>
        <w:t>资格条件</w:t>
      </w:r>
    </w:p>
    <w:p w14:paraId="0D7FB8D8">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w:t>
      </w:r>
      <w:bookmarkStart w:id="0" w:name="_Hlk72162904"/>
      <w:r>
        <w:rPr>
          <w:rFonts w:hint="eastAsia" w:ascii="宋体" w:hAnsi="宋体" w:eastAsia="宋体" w:cs="宋体"/>
          <w:kern w:val="0"/>
          <w:szCs w:val="21"/>
        </w:rPr>
        <w:t>具有独立法人资格或是具有独立承担民事责任的能力的</w:t>
      </w:r>
      <w:r>
        <w:rPr>
          <w:rFonts w:hint="eastAsia" w:ascii="宋体" w:hAnsi="宋体" w:eastAsia="宋体" w:cs="宋体"/>
          <w:kern w:val="0"/>
          <w:szCs w:val="21"/>
          <w:lang w:eastAsia="zh-CN"/>
        </w:rPr>
        <w:t>其他组织</w:t>
      </w:r>
      <w:r>
        <w:rPr>
          <w:rFonts w:hint="eastAsia" w:ascii="宋体" w:hAnsi="宋体" w:eastAsia="宋体" w:cs="宋体"/>
          <w:kern w:val="0"/>
          <w:szCs w:val="21"/>
        </w:rPr>
        <w:t>（提供营业执照扫描件或事业单位法人证书等法人证明材料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宋体" w:hAnsi="宋体" w:eastAsia="宋体" w:cs="宋体"/>
          <w:kern w:val="0"/>
          <w:szCs w:val="21"/>
          <w:lang w:eastAsia="zh-CN"/>
        </w:rPr>
        <w:t>；</w:t>
      </w:r>
      <w:bookmarkEnd w:id="0"/>
    </w:p>
    <w:p w14:paraId="27692B20">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2.本项目不接受联合体投标；不允许分包、转包</w:t>
      </w:r>
      <w:r>
        <w:rPr>
          <w:rFonts w:hint="eastAsia" w:ascii="宋体" w:hAnsi="宋体" w:eastAsia="宋体" w:cs="宋体"/>
          <w:kern w:val="0"/>
          <w:szCs w:val="21"/>
          <w:lang w:eastAsia="zh-CN"/>
        </w:rPr>
        <w:t>；</w:t>
      </w:r>
      <w:r>
        <w:rPr>
          <w:rFonts w:hint="eastAsia" w:ascii="宋体" w:hAnsi="宋体" w:eastAsia="宋体" w:cs="宋体"/>
          <w:kern w:val="0"/>
          <w:szCs w:val="21"/>
        </w:rPr>
        <w:t>不接受投标人选用进口产品参与投标（由供应商在《政府采购投标及履约承诺函》中作出声明）；</w:t>
      </w:r>
    </w:p>
    <w:p w14:paraId="51F61421">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w:t>
      </w:r>
      <w:r>
        <w:rPr>
          <w:rFonts w:hint="eastAsia" w:ascii="宋体" w:hAnsi="宋体" w:eastAsia="宋体" w:cs="宋体"/>
          <w:kern w:val="0"/>
          <w:szCs w:val="21"/>
          <w:lang w:val="en-US" w:eastAsia="zh-CN"/>
        </w:rPr>
        <w:t>参与本项目投标前三年内，在经营活动中没有重大违法记录；</w:t>
      </w:r>
      <w:r>
        <w:rPr>
          <w:rFonts w:hint="eastAsia" w:ascii="宋体" w:hAnsi="宋体" w:eastAsia="宋体" w:cs="宋体"/>
          <w:kern w:val="0"/>
          <w:szCs w:val="21"/>
        </w:rPr>
        <w:t>参与本项目政府采购活动时不存在被有关部门禁止参与政府采购活动且在有效期内的情况（由供应商在《政府采购投标及履约承诺函》中作出声明）；</w:t>
      </w:r>
    </w:p>
    <w:p w14:paraId="121915B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4.具备《中华人民共和国政府采购法》第二十二条</w:t>
      </w:r>
      <w:r>
        <w:rPr>
          <w:rFonts w:hint="eastAsia" w:ascii="宋体" w:hAnsi="宋体" w:eastAsia="宋体" w:cs="宋体"/>
          <w:kern w:val="0"/>
          <w:szCs w:val="21"/>
          <w:lang w:val="en-US" w:eastAsia="zh-CN"/>
        </w:rPr>
        <w:t>第一款</w:t>
      </w:r>
      <w:r>
        <w:rPr>
          <w:rFonts w:hint="eastAsia" w:ascii="宋体" w:hAnsi="宋体" w:eastAsia="宋体" w:cs="宋体"/>
          <w:kern w:val="0"/>
          <w:szCs w:val="21"/>
        </w:rPr>
        <w:t>的条件（由供应商在《政府采购投标及履约承诺函》中作出声明）；</w:t>
      </w:r>
    </w:p>
    <w:p w14:paraId="610E1FC9">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5.未被列入失信被执行人、重大税收违法失信主体、政府采购严重违法失信行为记录名单（由供应商在《政府采购投标及履约承诺函》中作出声明）。</w:t>
      </w:r>
    </w:p>
    <w:p w14:paraId="4C25F68B">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6.不存在《深圳市财政局政府采购供应商信用信息管理办法》（深财规〔2023〕3号）列明的严重违法失信行为</w:t>
      </w:r>
      <w:r>
        <w:rPr>
          <w:rFonts w:hint="eastAsia" w:ascii="宋体" w:hAnsi="宋体" w:eastAsia="宋体" w:cs="宋体"/>
          <w:kern w:val="0"/>
          <w:szCs w:val="21"/>
        </w:rPr>
        <w:t>（由供应商在《政府采购投标及履约承诺函》中作出声明）</w:t>
      </w:r>
      <w:r>
        <w:rPr>
          <w:rFonts w:hint="eastAsia" w:ascii="宋体" w:hAnsi="宋体" w:eastAsia="宋体" w:cs="宋体"/>
          <w:kern w:val="0"/>
          <w:szCs w:val="21"/>
          <w:lang w:val="en-US" w:eastAsia="zh-CN"/>
        </w:rPr>
        <w:t>。</w:t>
      </w:r>
    </w:p>
    <w:p w14:paraId="19C7165F">
      <w:pPr>
        <w:widowControl/>
        <w:spacing w:before="100" w:beforeAutospacing="1" w:after="100" w:afterAutospacing="1" w:line="405" w:lineRule="atLeast"/>
        <w:ind w:firstLine="420" w:firstLineChars="200"/>
        <w:jc w:val="left"/>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w:t>
      </w:r>
    </w:p>
    <w:p w14:paraId="4FEF64AB">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bookmarkStart w:id="1" w:name="OLE_LINK8"/>
      <w:r>
        <w:rPr>
          <w:rFonts w:hint="eastAsia" w:ascii="宋体" w:hAnsi="宋体" w:eastAsia="宋体" w:cs="宋体"/>
          <w:kern w:val="0"/>
          <w:szCs w:val="21"/>
          <w:lang w:val="en-US" w:eastAsia="zh-CN"/>
        </w:rPr>
        <w:t>8.</w:t>
      </w:r>
      <w:bookmarkStart w:id="2" w:name="OLE_LINK22"/>
      <w:bookmarkStart w:id="3" w:name="OLE_LINK3"/>
      <w:r>
        <w:rPr>
          <w:rFonts w:hint="eastAsia" w:ascii="宋体" w:hAnsi="宋体" w:eastAsia="宋体" w:cs="宋体"/>
          <w:kern w:val="0"/>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w:t>
      </w:r>
      <w:bookmarkStart w:id="4" w:name="OLE_LINK9"/>
      <w:r>
        <w:rPr>
          <w:rFonts w:hint="eastAsia" w:ascii="宋体" w:hAnsi="宋体" w:eastAsia="宋体" w:cs="宋体"/>
          <w:kern w:val="0"/>
          <w:szCs w:val="21"/>
          <w:lang w:val="en-US" w:eastAsia="zh-CN"/>
        </w:rPr>
        <w:t>写《供应商基本情况表</w:t>
      </w:r>
      <w:bookmarkEnd w:id="4"/>
      <w:r>
        <w:rPr>
          <w:rFonts w:hint="eastAsia" w:ascii="宋体" w:hAnsi="宋体" w:eastAsia="宋体" w:cs="宋体"/>
          <w:kern w:val="0"/>
          <w:szCs w:val="21"/>
          <w:lang w:val="en-US" w:eastAsia="zh-CN"/>
        </w:rPr>
        <w:t>》相关信息）。</w:t>
      </w:r>
      <w:bookmarkEnd w:id="1"/>
      <w:bookmarkEnd w:id="2"/>
    </w:p>
    <w:bookmarkEnd w:id="3"/>
    <w:p w14:paraId="2F7B27BF">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9.本项目是否专门面向中小微企业采购：否。</w:t>
      </w:r>
    </w:p>
    <w:p w14:paraId="6AF73B8E">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10.①投标人若为生产企业：所投产品为第二、三类医疗器械的，提供监督管理部门签发的涵盖所投报医疗器械的《医疗器械生产许可证》(有效期内)扫描件；</w:t>
      </w:r>
    </w:p>
    <w:p w14:paraId="5E0D65C9">
      <w:pPr>
        <w:widowControl/>
        <w:spacing w:before="100" w:beforeAutospacing="1" w:after="100" w:afterAutospacing="1" w:line="405" w:lineRule="atLeast"/>
        <w:ind w:firstLine="420" w:firstLineChars="200"/>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②投标人若为经营企业：所投产品为第二类医疗器械的，提供监督管理部门签发的涵盖所投报医疗器械的《医疗器械经营备案凭证》(有效期内)扫描件；所投产品为第三类医疗器械的，提供监督管理部门签发的涵盖所投报医疗器械的《医疗器械经营许可证》(有效期内)扫描件。</w:t>
      </w:r>
    </w:p>
    <w:p w14:paraId="021B6874">
      <w:pPr>
        <w:pStyle w:val="72"/>
        <w:widowControl/>
        <w:numPr>
          <w:ilvl w:val="0"/>
          <w:numId w:val="0"/>
        </w:numPr>
        <w:spacing w:before="0" w:beforeAutospacing="0" w:after="0" w:afterAutospacing="0" w:line="500" w:lineRule="exact"/>
        <w:ind w:left="1280" w:hanging="720" w:firstLineChars="0"/>
        <w:jc w:val="left"/>
        <w:outlineLvl w:val="1"/>
        <w:rPr>
          <w:highlight w:val="none"/>
        </w:rPr>
      </w:pPr>
      <w:r>
        <w:rPr>
          <w:rFonts w:hint="default" w:ascii="宋体" w:hAnsi="宋体" w:eastAsia="宋体" w:cs="微软雅黑"/>
          <w:color w:val="000000"/>
          <w:kern w:val="0"/>
          <w:sz w:val="36"/>
          <w:szCs w:val="36"/>
          <w:highlight w:val="none"/>
          <w:lang w:val="en-US" w:eastAsia="zh-CN" w:bidi="ar"/>
        </w:rPr>
        <w:t>二、</w:t>
      </w:r>
      <w:r>
        <w:rPr>
          <w:rFonts w:hint="default" w:ascii="宋体" w:hAnsi="宋体" w:eastAsia="宋体" w:cs="微软雅黑"/>
          <w:color w:val="000000"/>
          <w:kern w:val="0"/>
          <w:sz w:val="36"/>
          <w:szCs w:val="36"/>
          <w:highlight w:val="none"/>
          <w:lang w:bidi="ar"/>
        </w:rPr>
        <w:t>采购清单</w:t>
      </w:r>
    </w:p>
    <w:p w14:paraId="788CD058">
      <w:pPr>
        <w:pStyle w:val="72"/>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微软雅黑"/>
          <w:color w:val="000000"/>
          <w:kern w:val="0"/>
          <w:sz w:val="21"/>
          <w:szCs w:val="21"/>
          <w:highlight w:val="none"/>
          <w:lang w:eastAsia="zh-CN" w:bidi="ar"/>
        </w:rPr>
      </w:pPr>
      <w:r>
        <w:rPr>
          <w:rFonts w:hint="eastAsia" w:ascii="宋体" w:hAnsi="宋体" w:eastAsia="宋体" w:cs="微软雅黑"/>
          <w:color w:val="000000"/>
          <w:kern w:val="0"/>
          <w:sz w:val="21"/>
          <w:szCs w:val="21"/>
          <w:highlight w:val="none"/>
          <w:lang w:eastAsia="zh-CN" w:bidi="ar"/>
        </w:rPr>
        <w:t>（</w:t>
      </w:r>
      <w:r>
        <w:rPr>
          <w:rFonts w:hint="eastAsia" w:ascii="宋体" w:hAnsi="宋体" w:eastAsia="宋体" w:cs="微软雅黑"/>
          <w:color w:val="000000"/>
          <w:kern w:val="0"/>
          <w:sz w:val="21"/>
          <w:szCs w:val="21"/>
          <w:highlight w:val="none"/>
          <w:lang w:val="en-US" w:eastAsia="zh-CN" w:bidi="ar"/>
        </w:rPr>
        <w:t>1</w:t>
      </w:r>
      <w:r>
        <w:rPr>
          <w:rFonts w:hint="eastAsia" w:ascii="宋体" w:hAnsi="宋体" w:eastAsia="宋体" w:cs="微软雅黑"/>
          <w:color w:val="000000"/>
          <w:kern w:val="0"/>
          <w:sz w:val="21"/>
          <w:szCs w:val="21"/>
          <w:highlight w:val="none"/>
          <w:lang w:eastAsia="zh-CN" w:bidi="ar"/>
        </w:rPr>
        <w:t>）货物清单</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6"/>
        <w:gridCol w:w="2613"/>
        <w:gridCol w:w="804"/>
        <w:gridCol w:w="910"/>
        <w:gridCol w:w="1750"/>
        <w:gridCol w:w="1816"/>
      </w:tblGrid>
      <w:tr w14:paraId="246CC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67" w:type="pct"/>
            <w:noWrap w:val="0"/>
            <w:vAlign w:val="center"/>
          </w:tcPr>
          <w:p w14:paraId="07F45403">
            <w:pPr>
              <w:keepNext w:val="0"/>
              <w:keepLines w:val="0"/>
              <w:widowControl/>
              <w:suppressLineNumbers w:val="0"/>
              <w:jc w:val="center"/>
              <w:textAlignment w:val="center"/>
              <w:rPr>
                <w:rFonts w:hint="eastAsia" w:ascii="宋体" w:hAnsi="宋体" w:eastAsia="宋体" w:cs="宋体"/>
                <w:b/>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1533" w:type="pct"/>
            <w:noWrap w:val="0"/>
            <w:vAlign w:val="center"/>
          </w:tcPr>
          <w:p w14:paraId="4BA17302">
            <w:pPr>
              <w:keepNext w:val="0"/>
              <w:keepLines w:val="0"/>
              <w:widowControl/>
              <w:suppressLineNumbers w:val="0"/>
              <w:jc w:val="center"/>
              <w:textAlignment w:val="center"/>
              <w:rPr>
                <w:rFonts w:hint="eastAsia" w:ascii="宋体" w:hAnsi="宋体" w:eastAsia="宋体" w:cs="宋体"/>
                <w:b/>
                <w:sz w:val="21"/>
                <w:szCs w:val="21"/>
                <w:highlight w:val="none"/>
              </w:rPr>
            </w:pPr>
            <w:r>
              <w:rPr>
                <w:rFonts w:hint="eastAsia" w:ascii="宋体" w:hAnsi="宋体" w:eastAsia="宋体" w:cs="宋体"/>
                <w:i w:val="0"/>
                <w:iCs w:val="0"/>
                <w:color w:val="000000"/>
                <w:kern w:val="0"/>
                <w:sz w:val="21"/>
                <w:szCs w:val="21"/>
                <w:highlight w:val="none"/>
                <w:u w:val="none"/>
                <w:lang w:val="en-US" w:eastAsia="zh-CN" w:bidi="ar"/>
              </w:rPr>
              <w:t>货物名称</w:t>
            </w:r>
          </w:p>
        </w:tc>
        <w:tc>
          <w:tcPr>
            <w:tcW w:w="472" w:type="pct"/>
            <w:noWrap w:val="0"/>
            <w:vAlign w:val="center"/>
          </w:tcPr>
          <w:p w14:paraId="51D7842C">
            <w:pPr>
              <w:keepNext w:val="0"/>
              <w:keepLines w:val="0"/>
              <w:widowControl/>
              <w:suppressLineNumbers w:val="0"/>
              <w:jc w:val="center"/>
              <w:textAlignment w:val="center"/>
              <w:rPr>
                <w:rFonts w:hint="eastAsia" w:ascii="宋体" w:hAnsi="宋体" w:eastAsia="宋体" w:cs="宋体"/>
                <w:b/>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数量</w:t>
            </w:r>
          </w:p>
        </w:tc>
        <w:tc>
          <w:tcPr>
            <w:tcW w:w="534" w:type="pct"/>
            <w:noWrap w:val="0"/>
            <w:vAlign w:val="center"/>
          </w:tcPr>
          <w:p w14:paraId="448F34B5">
            <w:pPr>
              <w:keepNext w:val="0"/>
              <w:keepLines w:val="0"/>
              <w:widowControl/>
              <w:suppressLineNumbers w:val="0"/>
              <w:jc w:val="center"/>
              <w:textAlignment w:val="center"/>
              <w:rPr>
                <w:rFonts w:hint="eastAsia" w:ascii="宋体" w:hAnsi="宋体" w:eastAsia="宋体" w:cs="宋体"/>
                <w:b/>
                <w:sz w:val="21"/>
                <w:szCs w:val="21"/>
                <w:highlight w:val="none"/>
                <w:lang w:eastAsia="zh-CN"/>
              </w:rPr>
            </w:pPr>
            <w:r>
              <w:rPr>
                <w:rFonts w:hint="eastAsia" w:ascii="宋体" w:hAnsi="宋体" w:eastAsia="宋体" w:cs="宋体"/>
                <w:i w:val="0"/>
                <w:iCs w:val="0"/>
                <w:color w:val="000000"/>
                <w:kern w:val="0"/>
                <w:sz w:val="21"/>
                <w:szCs w:val="21"/>
                <w:highlight w:val="none"/>
                <w:u w:val="none"/>
                <w:lang w:val="en-US" w:eastAsia="zh-CN" w:bidi="ar"/>
              </w:rPr>
              <w:t>单位</w:t>
            </w:r>
          </w:p>
        </w:tc>
        <w:tc>
          <w:tcPr>
            <w:tcW w:w="1027" w:type="pct"/>
            <w:noWrap w:val="0"/>
            <w:vAlign w:val="center"/>
          </w:tcPr>
          <w:p w14:paraId="5E76A15B">
            <w:pPr>
              <w:keepNext w:val="0"/>
              <w:keepLines w:val="0"/>
              <w:widowControl/>
              <w:suppressLineNumbers w:val="0"/>
              <w:jc w:val="center"/>
              <w:textAlignment w:val="center"/>
              <w:rPr>
                <w:rFonts w:hint="default" w:ascii="宋体" w:hAnsi="宋体" w:eastAsia="宋体" w:cs="宋体"/>
                <w:b/>
                <w:color w:val="000000"/>
                <w:sz w:val="21"/>
                <w:szCs w:val="21"/>
                <w:highlight w:val="none"/>
                <w:lang w:val="en-US" w:eastAsia="zh-CN"/>
              </w:rPr>
            </w:pPr>
            <w:r>
              <w:rPr>
                <w:rFonts w:hint="eastAsia" w:ascii="宋体" w:hAnsi="宋体" w:eastAsia="宋体" w:cs="宋体"/>
                <w:i w:val="0"/>
                <w:iCs w:val="0"/>
                <w:color w:val="000000"/>
                <w:sz w:val="21"/>
                <w:szCs w:val="21"/>
                <w:highlight w:val="none"/>
                <w:u w:val="none"/>
                <w:lang w:val="en-US" w:eastAsia="zh-CN"/>
              </w:rPr>
              <w:t>是否接受进口</w:t>
            </w:r>
          </w:p>
        </w:tc>
        <w:tc>
          <w:tcPr>
            <w:tcW w:w="1065" w:type="pct"/>
            <w:noWrap w:val="0"/>
            <w:vAlign w:val="center"/>
          </w:tcPr>
          <w:p w14:paraId="3583ED32">
            <w:pPr>
              <w:keepNext w:val="0"/>
              <w:keepLines w:val="0"/>
              <w:widowControl/>
              <w:suppressLineNumbers w:val="0"/>
              <w:jc w:val="center"/>
              <w:textAlignment w:val="center"/>
              <w:rPr>
                <w:rFonts w:hint="eastAsia" w:ascii="宋体" w:hAnsi="宋体" w:eastAsia="宋体" w:cs="宋体"/>
                <w:b/>
                <w:color w:val="000000"/>
                <w:sz w:val="21"/>
                <w:szCs w:val="21"/>
                <w:highlight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财政预算限额（万元）</w:t>
            </w:r>
          </w:p>
        </w:tc>
      </w:tr>
      <w:tr w14:paraId="4CD8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367" w:type="pct"/>
            <w:noWrap w:val="0"/>
            <w:vAlign w:val="center"/>
          </w:tcPr>
          <w:p w14:paraId="3FE869AE">
            <w:pPr>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1</w:t>
            </w:r>
          </w:p>
        </w:tc>
        <w:tc>
          <w:tcPr>
            <w:tcW w:w="1533" w:type="pct"/>
            <w:noWrap w:val="0"/>
            <w:vAlign w:val="center"/>
          </w:tcPr>
          <w:p w14:paraId="7B5C594F">
            <w:pPr>
              <w:jc w:val="center"/>
              <w:rPr>
                <w:rFonts w:hint="default" w:ascii="宋体" w:hAnsi="宋体" w:eastAsia="宋体" w:cs="宋体"/>
                <w:bCs/>
                <w:kern w:val="2"/>
                <w:sz w:val="21"/>
                <w:szCs w:val="21"/>
                <w:highlight w:val="none"/>
                <w:lang w:val="en-US" w:eastAsia="zh-CN" w:bidi="ar-SA"/>
              </w:rPr>
            </w:pPr>
            <w:r>
              <w:rPr>
                <w:rFonts w:hint="default" w:ascii="宋体" w:hAnsi="宋体" w:eastAsia="宋体" w:cs="宋体"/>
                <w:bCs/>
                <w:kern w:val="2"/>
                <w:sz w:val="21"/>
                <w:szCs w:val="21"/>
                <w:highlight w:val="none"/>
                <w:lang w:val="en-US" w:eastAsia="zh-CN" w:bidi="ar-SA"/>
              </w:rPr>
              <w:t>超高清电子胃肠镜系统</w:t>
            </w:r>
          </w:p>
        </w:tc>
        <w:tc>
          <w:tcPr>
            <w:tcW w:w="472" w:type="pct"/>
            <w:noWrap w:val="0"/>
            <w:vAlign w:val="center"/>
          </w:tcPr>
          <w:p w14:paraId="0EC4DF87">
            <w:pPr>
              <w:widowControl/>
              <w:jc w:val="center"/>
              <w:textAlignment w:val="center"/>
              <w:rPr>
                <w:highlight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534" w:type="pct"/>
            <w:noWrap w:val="0"/>
            <w:vAlign w:val="center"/>
          </w:tcPr>
          <w:p w14:paraId="4309F4E3">
            <w:pPr>
              <w:keepNext w:val="0"/>
              <w:keepLines w:val="0"/>
              <w:widowControl/>
              <w:suppressLineNumbers w:val="0"/>
              <w:jc w:val="center"/>
              <w:textAlignment w:val="center"/>
              <w:rPr>
                <w:rFonts w:hint="default" w:ascii="宋体" w:hAnsi="宋体" w:eastAsia="宋体" w:cs="宋体"/>
                <w:bCs/>
                <w:kern w:val="2"/>
                <w:sz w:val="21"/>
                <w:szCs w:val="21"/>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套</w:t>
            </w:r>
          </w:p>
        </w:tc>
        <w:tc>
          <w:tcPr>
            <w:tcW w:w="1027" w:type="pct"/>
            <w:noWrap w:val="0"/>
            <w:vAlign w:val="center"/>
          </w:tcPr>
          <w:p w14:paraId="473C6EED">
            <w:pPr>
              <w:jc w:val="center"/>
              <w:rPr>
                <w:rFonts w:hint="default" w:ascii="宋体" w:hAnsi="宋体" w:eastAsia="宋体" w:cs="宋体"/>
                <w:bCs/>
                <w:kern w:val="2"/>
                <w:sz w:val="21"/>
                <w:szCs w:val="21"/>
                <w:highlight w:val="none"/>
                <w:lang w:val="en-US" w:eastAsia="zh-CN" w:bidi="ar-SA"/>
              </w:rPr>
            </w:pPr>
            <w:r>
              <w:rPr>
                <w:rFonts w:hint="default" w:ascii="宋体" w:hAnsi="宋体" w:eastAsia="宋体" w:cs="宋体"/>
                <w:bCs/>
                <w:sz w:val="21"/>
                <w:szCs w:val="21"/>
                <w:highlight w:val="none"/>
                <w:lang w:val="en-US" w:eastAsia="zh-CN"/>
              </w:rPr>
              <w:t>拒绝进口</w:t>
            </w:r>
          </w:p>
        </w:tc>
        <w:tc>
          <w:tcPr>
            <w:tcW w:w="1065" w:type="pct"/>
            <w:noWrap w:val="0"/>
            <w:vAlign w:val="center"/>
          </w:tcPr>
          <w:p w14:paraId="330D18C0">
            <w:pPr>
              <w:jc w:val="center"/>
              <w:rPr>
                <w:rFonts w:hint="default"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900</w:t>
            </w:r>
          </w:p>
        </w:tc>
      </w:tr>
    </w:tbl>
    <w:p w14:paraId="2F7F427A">
      <w:pPr>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备注：1.</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lang w:val="en-US" w:eastAsia="zh-CN"/>
        </w:rPr>
        <w:t>是否接受进口</w:t>
      </w:r>
      <w:r>
        <w:rPr>
          <w:rFonts w:hint="eastAsia" w:ascii="宋体" w:hAnsi="宋体" w:eastAsia="宋体" w:cs="宋体"/>
          <w:b/>
          <w:color w:val="FF0000"/>
          <w:sz w:val="21"/>
          <w:szCs w:val="21"/>
          <w:highlight w:val="none"/>
          <w:lang w:eastAsia="zh-CN"/>
        </w:rPr>
        <w:t>”</w:t>
      </w:r>
      <w:r>
        <w:rPr>
          <w:rFonts w:hint="eastAsia" w:ascii="宋体" w:hAnsi="宋体" w:eastAsia="宋体" w:cs="宋体"/>
          <w:b/>
          <w:color w:val="FF0000"/>
          <w:sz w:val="21"/>
          <w:szCs w:val="21"/>
          <w:highlight w:val="none"/>
        </w:rPr>
        <w:t>栏注明“拒绝进口”的产品不接受投标人选用进口产品参与投标；注明“接受进口”的产品允许投标人选用进口产品参与投标，但不排斥国内产品。</w:t>
      </w:r>
    </w:p>
    <w:p w14:paraId="06C1E2E6">
      <w:pPr>
        <w:spacing w:line="240" w:lineRule="auto"/>
        <w:ind w:firstLine="422" w:firstLineChars="200"/>
        <w:rPr>
          <w:rFonts w:hint="eastAsia" w:ascii="宋体" w:hAnsi="宋体" w:eastAsia="宋体" w:cs="宋体"/>
          <w:b/>
          <w:color w:val="FF0000"/>
          <w:sz w:val="21"/>
          <w:szCs w:val="21"/>
          <w:highlight w:val="none"/>
        </w:rPr>
      </w:pPr>
      <w:r>
        <w:rPr>
          <w:rFonts w:hint="eastAsia" w:ascii="宋体" w:hAnsi="宋体" w:eastAsia="宋体" w:cs="宋体"/>
          <w:b/>
          <w:color w:val="FF0000"/>
          <w:sz w:val="21"/>
          <w:szCs w:val="21"/>
          <w:highlight w:val="none"/>
        </w:rPr>
        <w:t>2</w:t>
      </w:r>
      <w:r>
        <w:rPr>
          <w:rFonts w:hint="eastAsia" w:ascii="宋体" w:hAnsi="宋体" w:eastAsia="宋体" w:cs="宋体"/>
          <w:b/>
          <w:color w:val="FF0000"/>
          <w:sz w:val="21"/>
          <w:szCs w:val="21"/>
          <w:highlight w:val="none"/>
          <w:lang w:val="en-US" w:eastAsia="zh-CN"/>
        </w:rPr>
        <w:t>.</w:t>
      </w:r>
      <w:r>
        <w:rPr>
          <w:rFonts w:hint="eastAsia" w:ascii="宋体" w:hAnsi="宋体" w:eastAsia="宋体" w:cs="宋体"/>
          <w:b/>
          <w:color w:val="FF0000"/>
          <w:sz w:val="21"/>
          <w:szCs w:val="21"/>
          <w:highlight w:val="none"/>
        </w:rPr>
        <w:t>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号文和财办库〔2008〕248号文的相关规定为准。</w:t>
      </w:r>
    </w:p>
    <w:p w14:paraId="421CA1AC">
      <w:pPr>
        <w:ind w:firstLine="422" w:firstLineChars="200"/>
        <w:rPr>
          <w:rFonts w:hint="eastAsia" w:ascii="宋体" w:hAnsi="宋体" w:eastAsia="宋体" w:cs="宋体"/>
          <w:b/>
          <w:color w:val="FF0000"/>
          <w:kern w:val="2"/>
          <w:sz w:val="21"/>
          <w:szCs w:val="21"/>
          <w:highlight w:val="none"/>
          <w:lang w:eastAsia="zh-CN" w:bidi="ar"/>
        </w:rPr>
      </w:pPr>
      <w:r>
        <w:rPr>
          <w:rFonts w:hint="eastAsia" w:ascii="宋体" w:hAnsi="宋体" w:eastAsia="宋体" w:cs="宋体"/>
          <w:b/>
          <w:bCs w:val="0"/>
          <w:color w:val="FF0000"/>
          <w:sz w:val="21"/>
          <w:szCs w:val="21"/>
          <w:highlight w:val="none"/>
        </w:rPr>
        <w:t>3</w:t>
      </w:r>
      <w:r>
        <w:rPr>
          <w:rFonts w:hint="eastAsia" w:ascii="宋体" w:hAnsi="宋体" w:eastAsia="宋体" w:cs="宋体"/>
          <w:b/>
          <w:bCs w:val="0"/>
          <w:color w:val="FF0000"/>
          <w:sz w:val="21"/>
          <w:szCs w:val="21"/>
          <w:highlight w:val="none"/>
          <w:lang w:val="en-US" w:eastAsia="zh-CN"/>
        </w:rPr>
        <w:t>.</w:t>
      </w:r>
      <w:r>
        <w:rPr>
          <w:rFonts w:hint="eastAsia" w:ascii="宋体" w:hAnsi="宋体" w:eastAsia="宋体" w:cs="宋体"/>
          <w:b/>
          <w:bCs w:val="0"/>
          <w:color w:val="FF0000"/>
          <w:sz w:val="21"/>
          <w:szCs w:val="21"/>
          <w:highlight w:val="none"/>
        </w:rPr>
        <w:t>本项目核心产品为：</w:t>
      </w:r>
      <w:r>
        <w:rPr>
          <w:rFonts w:hint="eastAsia" w:ascii="宋体" w:hAnsi="宋体" w:eastAsia="宋体" w:cs="宋体"/>
          <w:b/>
          <w:bCs w:val="0"/>
          <w:color w:val="FF0000"/>
          <w:sz w:val="21"/>
          <w:szCs w:val="21"/>
          <w:highlight w:val="none"/>
          <w:lang w:val="en-US" w:eastAsia="zh-CN"/>
        </w:rPr>
        <w:t>超高清电子胃肠镜系统</w:t>
      </w:r>
      <w:r>
        <w:rPr>
          <w:rFonts w:hint="eastAsia" w:ascii="宋体" w:hAnsi="宋体" w:eastAsia="宋体" w:cs="宋体"/>
          <w:b/>
          <w:bCs w:val="0"/>
          <w:color w:val="FF0000"/>
          <w:sz w:val="21"/>
          <w:szCs w:val="21"/>
          <w:highlight w:val="none"/>
          <w:u w:val="none"/>
        </w:rPr>
        <w:t>（序号</w:t>
      </w:r>
      <w:r>
        <w:rPr>
          <w:rFonts w:hint="eastAsia" w:ascii="宋体" w:hAnsi="宋体" w:eastAsia="宋体" w:cs="宋体"/>
          <w:b/>
          <w:bCs w:val="0"/>
          <w:color w:val="FF0000"/>
          <w:sz w:val="21"/>
          <w:szCs w:val="21"/>
          <w:highlight w:val="none"/>
          <w:u w:val="none"/>
          <w:lang w:val="en-US" w:eastAsia="zh-CN"/>
        </w:rPr>
        <w:t>1</w:t>
      </w:r>
      <w:r>
        <w:rPr>
          <w:rFonts w:hint="eastAsia" w:ascii="宋体" w:hAnsi="宋体" w:eastAsia="宋体" w:cs="宋体"/>
          <w:b/>
          <w:bCs w:val="0"/>
          <w:color w:val="FF0000"/>
          <w:sz w:val="21"/>
          <w:szCs w:val="21"/>
          <w:highlight w:val="none"/>
          <w:u w:val="none"/>
        </w:rPr>
        <w:t>）</w:t>
      </w:r>
      <w:r>
        <w:rPr>
          <w:rFonts w:hint="eastAsia" w:ascii="宋体" w:hAnsi="宋体" w:eastAsia="宋体" w:cs="宋体"/>
          <w:b/>
          <w:bCs w:val="0"/>
          <w:color w:val="FF0000"/>
          <w:sz w:val="21"/>
          <w:szCs w:val="21"/>
          <w:highlight w:val="none"/>
        </w:rPr>
        <w:t>。</w:t>
      </w:r>
    </w:p>
    <w:p w14:paraId="7E9F92C2">
      <w:pPr>
        <w:pStyle w:val="72"/>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微软雅黑"/>
          <w:color w:val="000000"/>
          <w:kern w:val="0"/>
          <w:sz w:val="21"/>
          <w:szCs w:val="21"/>
          <w:highlight w:val="none"/>
          <w:lang w:eastAsia="zh-CN" w:bidi="ar"/>
        </w:rPr>
      </w:pPr>
      <w:r>
        <w:rPr>
          <w:rFonts w:hint="eastAsia" w:ascii="宋体" w:hAnsi="宋体" w:eastAsia="宋体" w:cs="微软雅黑"/>
          <w:color w:val="000000"/>
          <w:kern w:val="0"/>
          <w:sz w:val="21"/>
          <w:szCs w:val="21"/>
          <w:highlight w:val="none"/>
          <w:lang w:eastAsia="zh-CN" w:bidi="ar"/>
        </w:rPr>
        <w:t>（</w:t>
      </w:r>
      <w:r>
        <w:rPr>
          <w:rFonts w:hint="eastAsia" w:ascii="宋体" w:hAnsi="宋体" w:eastAsia="宋体" w:cs="微软雅黑"/>
          <w:color w:val="000000"/>
          <w:kern w:val="0"/>
          <w:sz w:val="21"/>
          <w:szCs w:val="21"/>
          <w:highlight w:val="none"/>
          <w:lang w:val="en-US" w:eastAsia="zh-CN" w:bidi="ar"/>
        </w:rPr>
        <w:t>2</w:t>
      </w:r>
      <w:r>
        <w:rPr>
          <w:rFonts w:hint="eastAsia" w:ascii="宋体" w:hAnsi="宋体" w:eastAsia="宋体" w:cs="微软雅黑"/>
          <w:color w:val="000000"/>
          <w:kern w:val="0"/>
          <w:sz w:val="21"/>
          <w:szCs w:val="21"/>
          <w:highlight w:val="none"/>
          <w:lang w:eastAsia="zh-CN" w:bidi="ar"/>
        </w:rPr>
        <w:t>）</w:t>
      </w:r>
      <w:r>
        <w:rPr>
          <w:rFonts w:hint="eastAsia" w:ascii="宋体" w:hAnsi="宋体" w:eastAsia="宋体" w:cs="宋体"/>
          <w:b/>
          <w:bCs/>
          <w:i w:val="0"/>
          <w:iCs w:val="0"/>
          <w:color w:val="000000"/>
          <w:kern w:val="0"/>
          <w:sz w:val="21"/>
          <w:szCs w:val="21"/>
          <w:highlight w:val="none"/>
          <w:u w:val="none"/>
          <w:lang w:val="en-US" w:eastAsia="zh-CN" w:bidi="ar"/>
        </w:rPr>
        <w:t>★</w:t>
      </w:r>
      <w:r>
        <w:rPr>
          <w:rFonts w:hint="eastAsia" w:ascii="宋体" w:hAnsi="宋体" w:eastAsia="宋体" w:cs="微软雅黑"/>
          <w:color w:val="000000"/>
          <w:kern w:val="0"/>
          <w:sz w:val="21"/>
          <w:szCs w:val="21"/>
          <w:highlight w:val="none"/>
          <w:lang w:eastAsia="zh-CN" w:bidi="ar"/>
        </w:rPr>
        <w:t>具体配置清单</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0"/>
        <w:gridCol w:w="4615"/>
        <w:gridCol w:w="1324"/>
        <w:gridCol w:w="1720"/>
      </w:tblGrid>
      <w:tr w14:paraId="57AB6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E98C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A166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配置名称</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A0DE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1B0F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14:paraId="65423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AA2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6E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图像处理器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129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884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1E3B5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080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34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5LED冷光源</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F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3C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5D1A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49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D7A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F1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3DF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1F51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ECF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99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ACE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C6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743C9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C8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CD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A5F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A29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763A4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81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ED2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558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BD3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5C96D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38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6B7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747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AE6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1127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BF5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81A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08A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AA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4BB48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C13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3F9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32寸彩色液晶医用监视器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BE2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864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4D45E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C1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609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专用仪器台车</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9BE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B32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6CFC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A51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8C5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内窥镜送水泵</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42D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4D3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08C04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8C5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04A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内镜用二氧化碳送气装置</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111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E2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3B779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6FA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415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图文工作站</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08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EB2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4F47A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D5D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0B4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消化道辅助质量控制软件</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4C9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312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bl>
    <w:p w14:paraId="6629A086">
      <w:pPr>
        <w:pStyle w:val="72"/>
        <w:widowControl/>
        <w:numPr>
          <w:ilvl w:val="0"/>
          <w:numId w:val="0"/>
        </w:numPr>
        <w:spacing w:before="0" w:beforeAutospacing="0" w:after="0" w:afterAutospacing="0" w:line="500" w:lineRule="exact"/>
        <w:ind w:left="1280" w:hanging="720" w:firstLineChars="0"/>
        <w:jc w:val="left"/>
        <w:outlineLvl w:val="9"/>
        <w:rPr>
          <w:rFonts w:hint="default" w:ascii="宋体" w:hAnsi="宋体" w:eastAsia="宋体" w:cs="微软雅黑"/>
          <w:color w:val="000000"/>
          <w:kern w:val="0"/>
          <w:sz w:val="36"/>
          <w:szCs w:val="36"/>
          <w:highlight w:val="none"/>
          <w:lang w:val="en-US" w:eastAsia="zh-CN" w:bidi="ar"/>
        </w:rPr>
      </w:pPr>
    </w:p>
    <w:p w14:paraId="50744C14">
      <w:pPr>
        <w:pStyle w:val="72"/>
        <w:widowControl/>
        <w:numPr>
          <w:ilvl w:val="0"/>
          <w:numId w:val="0"/>
        </w:numPr>
        <w:spacing w:before="0" w:beforeAutospacing="0" w:after="0" w:afterAutospacing="0" w:line="500" w:lineRule="exact"/>
        <w:ind w:left="1280" w:hanging="720" w:firstLineChars="0"/>
        <w:jc w:val="left"/>
        <w:outlineLvl w:val="1"/>
        <w:rPr>
          <w:rFonts w:hint="eastAsia" w:ascii="宋体" w:hAnsi="宋体" w:eastAsia="宋体" w:cs="微软雅黑"/>
          <w:color w:val="000000"/>
          <w:kern w:val="0"/>
          <w:sz w:val="36"/>
          <w:szCs w:val="36"/>
          <w:highlight w:val="none"/>
          <w:lang w:val="en-US" w:eastAsia="zh-CN" w:bidi="ar"/>
        </w:rPr>
      </w:pPr>
      <w:r>
        <w:rPr>
          <w:rFonts w:hint="default" w:ascii="宋体" w:hAnsi="宋体" w:eastAsia="宋体" w:cs="微软雅黑"/>
          <w:color w:val="000000"/>
          <w:kern w:val="0"/>
          <w:sz w:val="36"/>
          <w:szCs w:val="36"/>
          <w:highlight w:val="none"/>
          <w:lang w:val="en-US" w:eastAsia="zh-CN" w:bidi="ar"/>
        </w:rPr>
        <w:t>三、技术要求</w:t>
      </w:r>
      <w:bookmarkStart w:id="5" w:name="_Hlk154758948"/>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74"/>
        <w:gridCol w:w="825"/>
        <w:gridCol w:w="6375"/>
        <w:gridCol w:w="745"/>
      </w:tblGrid>
      <w:tr w14:paraId="49E0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shd w:val="clear" w:color="auto" w:fill="auto"/>
            <w:vAlign w:val="center"/>
          </w:tcPr>
          <w:p w14:paraId="392C9A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484" w:type="pct"/>
            <w:shd w:val="clear" w:color="auto" w:fill="auto"/>
            <w:vAlign w:val="center"/>
          </w:tcPr>
          <w:p w14:paraId="1BF6B7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货物名称</w:t>
            </w:r>
          </w:p>
        </w:tc>
        <w:tc>
          <w:tcPr>
            <w:tcW w:w="3741" w:type="pct"/>
            <w:shd w:val="clear" w:color="auto" w:fill="auto"/>
            <w:vAlign w:val="center"/>
          </w:tcPr>
          <w:p w14:paraId="6D643C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技术要求</w:t>
            </w:r>
          </w:p>
        </w:tc>
        <w:tc>
          <w:tcPr>
            <w:tcW w:w="437" w:type="pct"/>
            <w:shd w:val="clear" w:color="auto" w:fill="auto"/>
            <w:vAlign w:val="center"/>
          </w:tcPr>
          <w:p w14:paraId="054C2A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标注</w:t>
            </w:r>
          </w:p>
        </w:tc>
      </w:tr>
      <w:tr w14:paraId="5978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6" w:hRule="atLeast"/>
        </w:trPr>
        <w:tc>
          <w:tcPr>
            <w:tcW w:w="336" w:type="pct"/>
            <w:vMerge w:val="restart"/>
            <w:shd w:val="clear" w:color="auto" w:fill="auto"/>
            <w:vAlign w:val="center"/>
          </w:tcPr>
          <w:p w14:paraId="0268C46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1</w:t>
            </w:r>
          </w:p>
        </w:tc>
        <w:tc>
          <w:tcPr>
            <w:tcW w:w="484" w:type="pct"/>
            <w:vMerge w:val="restart"/>
            <w:shd w:val="clear" w:color="auto" w:fill="auto"/>
            <w:noWrap/>
            <w:vAlign w:val="center"/>
          </w:tcPr>
          <w:p w14:paraId="056691A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Cs/>
                <w:kern w:val="2"/>
                <w:sz w:val="21"/>
                <w:szCs w:val="21"/>
                <w:highlight w:val="none"/>
                <w:lang w:val="en-US" w:eastAsia="zh-CN" w:bidi="ar-SA"/>
              </w:rPr>
              <w:t>超高清电子胃肠镜系统</w:t>
            </w:r>
          </w:p>
        </w:tc>
        <w:tc>
          <w:tcPr>
            <w:tcW w:w="4178" w:type="pct"/>
            <w:gridSpan w:val="2"/>
            <w:shd w:val="clear" w:color="auto" w:fill="auto"/>
            <w:vAlign w:val="center"/>
          </w:tcPr>
          <w:p w14:paraId="74724665">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图像处理器</w:t>
            </w:r>
          </w:p>
        </w:tc>
      </w:tr>
      <w:tr w14:paraId="0D9D5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40ED1B8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05BB5B2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E6C02C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1、具有≥4种特殊光染色模式，具备琥珀光提高深层血管和出血点的可视性的特殊光，辅助高效手术操作。</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21E637A3">
            <w:pPr>
              <w:jc w:val="center"/>
              <w:rPr>
                <w:rFonts w:hint="eastAsia" w:ascii="宋体" w:hAnsi="宋体" w:eastAsia="宋体" w:cs="宋体"/>
                <w:i w:val="0"/>
                <w:iCs w:val="0"/>
                <w:color w:val="000000"/>
                <w:sz w:val="21"/>
                <w:szCs w:val="21"/>
                <w:highlight w:val="none"/>
                <w:u w:val="none"/>
              </w:rPr>
            </w:pPr>
          </w:p>
        </w:tc>
      </w:tr>
      <w:tr w14:paraId="4D47F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0A60BFB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59C703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FC40EE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2、视频信号激光传输：内镜与主机实行激光信号传输。</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496A50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28DD7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9794BE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DA82CE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23F5A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3、具有多种信号输出方式，具有4K超高清图像输出功能。</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3B5B87CC">
            <w:pPr>
              <w:jc w:val="center"/>
              <w:rPr>
                <w:rFonts w:hint="eastAsia" w:ascii="宋体" w:hAnsi="宋体" w:eastAsia="宋体" w:cs="宋体"/>
                <w:i w:val="0"/>
                <w:iCs w:val="0"/>
                <w:color w:val="000000"/>
                <w:sz w:val="21"/>
                <w:szCs w:val="21"/>
                <w:highlight w:val="none"/>
                <w:u w:val="none"/>
              </w:rPr>
            </w:pPr>
          </w:p>
        </w:tc>
      </w:tr>
      <w:tr w14:paraId="3CEBA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36" w:type="pct"/>
            <w:vMerge w:val="continue"/>
            <w:shd w:val="clear" w:color="auto" w:fill="auto"/>
            <w:vAlign w:val="center"/>
          </w:tcPr>
          <w:p w14:paraId="295D19C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1EE5F6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93877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4、具有分屏实时动态显示普通模式图像与分光染色模式图像的功能。</w:t>
            </w:r>
          </w:p>
        </w:tc>
        <w:tc>
          <w:tcPr>
            <w:tcW w:w="437" w:type="pct"/>
            <w:shd w:val="clear" w:color="auto" w:fill="auto"/>
            <w:vAlign w:val="center"/>
          </w:tcPr>
          <w:p w14:paraId="5C68E2B2">
            <w:pPr>
              <w:jc w:val="center"/>
              <w:rPr>
                <w:rFonts w:hint="eastAsia" w:ascii="宋体" w:hAnsi="宋体" w:eastAsia="宋体" w:cs="宋体"/>
                <w:i w:val="0"/>
                <w:iCs w:val="0"/>
                <w:color w:val="000000"/>
                <w:sz w:val="21"/>
                <w:szCs w:val="21"/>
                <w:highlight w:val="none"/>
                <w:u w:val="none"/>
              </w:rPr>
            </w:pPr>
          </w:p>
        </w:tc>
      </w:tr>
      <w:tr w14:paraId="3C02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3C58844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500C1B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AC8B61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5、具有至少自动测光模式、平均测光和峰值测光三种模式。</w:t>
            </w:r>
          </w:p>
        </w:tc>
        <w:tc>
          <w:tcPr>
            <w:tcW w:w="437" w:type="pct"/>
            <w:shd w:val="clear" w:color="auto" w:fill="auto"/>
            <w:vAlign w:val="center"/>
          </w:tcPr>
          <w:p w14:paraId="08E9049F">
            <w:pPr>
              <w:jc w:val="center"/>
              <w:rPr>
                <w:rFonts w:hint="eastAsia" w:ascii="宋体" w:hAnsi="宋体" w:eastAsia="宋体" w:cs="宋体"/>
                <w:b/>
                <w:bCs/>
                <w:i w:val="0"/>
                <w:iCs w:val="0"/>
                <w:color w:val="000000"/>
                <w:sz w:val="21"/>
                <w:szCs w:val="21"/>
                <w:highlight w:val="none"/>
                <w:u w:val="none"/>
              </w:rPr>
            </w:pPr>
          </w:p>
        </w:tc>
      </w:tr>
      <w:tr w14:paraId="03801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168A119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D9322B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B53DB2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6、具有血液强化功能，结构强化功能，轮廓强化功能。</w:t>
            </w:r>
          </w:p>
        </w:tc>
        <w:tc>
          <w:tcPr>
            <w:tcW w:w="437" w:type="pct"/>
            <w:shd w:val="clear" w:color="auto" w:fill="auto"/>
            <w:noWrap/>
            <w:vAlign w:val="center"/>
          </w:tcPr>
          <w:p w14:paraId="6F8DBCFE">
            <w:pPr>
              <w:jc w:val="both"/>
              <w:rPr>
                <w:rFonts w:hint="eastAsia" w:ascii="宋体" w:hAnsi="宋体" w:eastAsia="宋体" w:cs="宋体"/>
                <w:b/>
                <w:bCs/>
                <w:i w:val="0"/>
                <w:iCs w:val="0"/>
                <w:color w:val="000000"/>
                <w:sz w:val="21"/>
                <w:szCs w:val="21"/>
                <w:highlight w:val="none"/>
                <w:u w:val="none"/>
              </w:rPr>
            </w:pPr>
          </w:p>
        </w:tc>
      </w:tr>
      <w:tr w14:paraId="454B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16D0271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0909460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20C7E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7、色调调节可分别调节红色、绿色、蓝色、色度±10级可调。</w:t>
            </w:r>
          </w:p>
        </w:tc>
        <w:tc>
          <w:tcPr>
            <w:tcW w:w="437" w:type="pct"/>
            <w:shd w:val="clear" w:color="auto" w:fill="auto"/>
            <w:noWrap/>
            <w:vAlign w:val="center"/>
          </w:tcPr>
          <w:p w14:paraId="18F5CF45">
            <w:pPr>
              <w:jc w:val="both"/>
              <w:rPr>
                <w:rFonts w:hint="eastAsia" w:ascii="宋体" w:hAnsi="宋体" w:eastAsia="宋体" w:cs="宋体"/>
                <w:b/>
                <w:bCs/>
                <w:i w:val="0"/>
                <w:iCs w:val="0"/>
                <w:color w:val="000000"/>
                <w:sz w:val="21"/>
                <w:szCs w:val="21"/>
                <w:highlight w:val="none"/>
                <w:u w:val="none"/>
              </w:rPr>
            </w:pPr>
          </w:p>
        </w:tc>
      </w:tr>
      <w:tr w14:paraId="1610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336" w:type="pct"/>
            <w:vMerge w:val="continue"/>
            <w:shd w:val="clear" w:color="auto" w:fill="auto"/>
            <w:vAlign w:val="center"/>
          </w:tcPr>
          <w:p w14:paraId="202AF6D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AA4E75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A69A1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8、具有自动白平衡功能和内窥镜ID自动识别功能。</w:t>
            </w:r>
          </w:p>
        </w:tc>
        <w:tc>
          <w:tcPr>
            <w:tcW w:w="437" w:type="pct"/>
            <w:shd w:val="clear" w:color="auto" w:fill="auto"/>
            <w:vAlign w:val="center"/>
          </w:tcPr>
          <w:p w14:paraId="299AFF20">
            <w:pPr>
              <w:jc w:val="center"/>
              <w:rPr>
                <w:rFonts w:hint="eastAsia" w:ascii="宋体" w:hAnsi="宋体" w:eastAsia="宋体" w:cs="宋体"/>
                <w:b/>
                <w:bCs/>
                <w:i w:val="0"/>
                <w:iCs w:val="0"/>
                <w:color w:val="000000"/>
                <w:sz w:val="21"/>
                <w:szCs w:val="21"/>
                <w:highlight w:val="none"/>
                <w:u w:val="none"/>
              </w:rPr>
            </w:pPr>
          </w:p>
        </w:tc>
      </w:tr>
      <w:tr w14:paraId="511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FF0FA1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3DC752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4E55E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9、可冻结实时图像、缓存≥32幅冻结图像。冻结图像还可进行血液强化、结构强化、轮廓强化、数字放大等图像处理。</w:t>
            </w:r>
          </w:p>
        </w:tc>
        <w:tc>
          <w:tcPr>
            <w:tcW w:w="437" w:type="pct"/>
            <w:shd w:val="clear" w:color="auto" w:fill="auto"/>
            <w:vAlign w:val="center"/>
          </w:tcPr>
          <w:p w14:paraId="021AF7B1">
            <w:pPr>
              <w:jc w:val="center"/>
              <w:rPr>
                <w:rFonts w:hint="eastAsia" w:ascii="宋体" w:hAnsi="宋体" w:eastAsia="宋体" w:cs="宋体"/>
                <w:i w:val="0"/>
                <w:iCs w:val="0"/>
                <w:color w:val="000000"/>
                <w:sz w:val="21"/>
                <w:szCs w:val="21"/>
                <w:highlight w:val="none"/>
                <w:u w:val="none"/>
              </w:rPr>
            </w:pPr>
          </w:p>
        </w:tc>
      </w:tr>
      <w:tr w14:paraId="69D4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691F055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CA641F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C3E6F3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10、具有数字放大功能，1.2 倍、1.5 倍、2 倍三档放大可调。</w:t>
            </w:r>
          </w:p>
        </w:tc>
        <w:tc>
          <w:tcPr>
            <w:tcW w:w="437" w:type="pct"/>
            <w:shd w:val="clear" w:color="auto" w:fill="auto"/>
            <w:vAlign w:val="center"/>
          </w:tcPr>
          <w:p w14:paraId="1C9A9834">
            <w:pPr>
              <w:jc w:val="left"/>
              <w:rPr>
                <w:rFonts w:hint="eastAsia" w:ascii="宋体" w:hAnsi="宋体" w:eastAsia="宋体" w:cs="宋体"/>
                <w:i w:val="0"/>
                <w:iCs w:val="0"/>
                <w:color w:val="000000"/>
                <w:sz w:val="21"/>
                <w:szCs w:val="21"/>
                <w:highlight w:val="none"/>
                <w:u w:val="none"/>
              </w:rPr>
            </w:pPr>
          </w:p>
        </w:tc>
      </w:tr>
      <w:tr w14:paraId="2AD6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A087CD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07DE67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B08D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11、具有 USB 存储功能，可在外接U盘中存储视频和图片，具备录像功能。</w:t>
            </w:r>
          </w:p>
        </w:tc>
        <w:tc>
          <w:tcPr>
            <w:tcW w:w="437" w:type="pct"/>
            <w:shd w:val="clear" w:color="auto" w:fill="auto"/>
            <w:vAlign w:val="center"/>
          </w:tcPr>
          <w:p w14:paraId="5496DA03">
            <w:pPr>
              <w:jc w:val="left"/>
              <w:rPr>
                <w:rFonts w:hint="eastAsia" w:ascii="宋体" w:hAnsi="宋体" w:eastAsia="宋体" w:cs="宋体"/>
                <w:i w:val="0"/>
                <w:iCs w:val="0"/>
                <w:color w:val="000000"/>
                <w:sz w:val="21"/>
                <w:szCs w:val="21"/>
                <w:highlight w:val="none"/>
                <w:u w:val="none"/>
              </w:rPr>
            </w:pPr>
          </w:p>
        </w:tc>
      </w:tr>
      <w:tr w14:paraId="6FA99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CCDD1A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6968E0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8AD853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12、兼容消化科室常规胃肠镜、光学放大胃肠镜、十二指肠镜、经鼻胃镜等镜种。</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00A68E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7AB7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0637D4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1C4C5B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0AB2F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13、兼容其他多科室且具有国内医疗器械注册证的鼻咽喉镜、支气管镜、内科胸腔镜等。</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1B63DC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31BE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4DF69A8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3D17D5E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F36D52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14、主机面板为液晶触摸屏控制，屏幕尺寸≥10英寸。</w:t>
            </w:r>
            <w:r>
              <w:rPr>
                <w:rFonts w:hint="eastAsia" w:ascii="宋体" w:hAnsi="宋体" w:eastAsia="宋体" w:cs="宋体"/>
                <w:b/>
                <w:bCs/>
                <w:i w:val="0"/>
                <w:iCs w:val="0"/>
                <w:color w:val="FF0000"/>
                <w:kern w:val="0"/>
                <w:sz w:val="21"/>
                <w:szCs w:val="21"/>
                <w:highlight w:val="none"/>
                <w:u w:val="none"/>
                <w:lang w:val="en-US" w:eastAsia="zh-CN" w:bidi="ar"/>
              </w:rPr>
              <w:t>【提供产品彩页或注册证附录页技术要求作为佐证资料】</w:t>
            </w:r>
          </w:p>
        </w:tc>
        <w:tc>
          <w:tcPr>
            <w:tcW w:w="437" w:type="pct"/>
            <w:shd w:val="clear" w:color="auto" w:fill="auto"/>
            <w:vAlign w:val="center"/>
          </w:tcPr>
          <w:p w14:paraId="28B9F4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3BAB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FAC8A0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1DBBD696">
            <w:pPr>
              <w:keepNext w:val="0"/>
              <w:keepLines w:val="0"/>
              <w:widowControl/>
              <w:suppressLineNumbers w:val="0"/>
              <w:jc w:val="center"/>
              <w:textAlignment w:val="center"/>
              <w:rPr>
                <w:rFonts w:hint="eastAsia" w:ascii="宋体" w:hAnsi="宋体" w:eastAsia="宋体" w:cs="宋体"/>
                <w:sz w:val="21"/>
                <w:szCs w:val="21"/>
                <w:highlight w:val="none"/>
                <w:lang w:val="en-US" w:eastAsia="zh-CN"/>
              </w:rPr>
            </w:pPr>
          </w:p>
        </w:tc>
        <w:tc>
          <w:tcPr>
            <w:tcW w:w="4178" w:type="pct"/>
            <w:gridSpan w:val="2"/>
            <w:shd w:val="clear" w:color="auto" w:fill="auto"/>
            <w:vAlign w:val="center"/>
          </w:tcPr>
          <w:p w14:paraId="6E6B8EA9">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5LED冷光源</w:t>
            </w:r>
          </w:p>
        </w:tc>
      </w:tr>
      <w:tr w14:paraId="478D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0BCF7A8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707628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7E479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1、灯泡：具备≥5个独立LED灯冷光源。</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74CC2B0F">
            <w:pPr>
              <w:jc w:val="center"/>
              <w:rPr>
                <w:rFonts w:hint="eastAsia" w:ascii="宋体" w:hAnsi="宋体" w:eastAsia="宋体" w:cs="宋体"/>
                <w:i w:val="0"/>
                <w:iCs w:val="0"/>
                <w:color w:val="000000"/>
                <w:sz w:val="21"/>
                <w:szCs w:val="21"/>
                <w:highlight w:val="none"/>
                <w:u w:val="none"/>
              </w:rPr>
            </w:pPr>
          </w:p>
        </w:tc>
      </w:tr>
      <w:tr w14:paraId="16BEB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CD8D39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4F415D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C7096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2、灯泡寿命＞30000小时。</w:t>
            </w:r>
          </w:p>
        </w:tc>
        <w:tc>
          <w:tcPr>
            <w:tcW w:w="437" w:type="pct"/>
            <w:shd w:val="clear" w:color="auto" w:fill="auto"/>
            <w:vAlign w:val="center"/>
          </w:tcPr>
          <w:p w14:paraId="17EAFEEA">
            <w:pPr>
              <w:jc w:val="center"/>
              <w:rPr>
                <w:rFonts w:hint="eastAsia" w:ascii="宋体" w:hAnsi="宋体" w:eastAsia="宋体" w:cs="宋体"/>
                <w:i w:val="0"/>
                <w:iCs w:val="0"/>
                <w:color w:val="000000"/>
                <w:sz w:val="21"/>
                <w:szCs w:val="21"/>
                <w:highlight w:val="none"/>
                <w:u w:val="none"/>
              </w:rPr>
            </w:pPr>
          </w:p>
        </w:tc>
      </w:tr>
      <w:tr w14:paraId="54732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9D643B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E2CCC7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30F0D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3、光通量：普通白光模式300lm，允差-10%。</w:t>
            </w:r>
          </w:p>
        </w:tc>
        <w:tc>
          <w:tcPr>
            <w:tcW w:w="437" w:type="pct"/>
            <w:shd w:val="clear" w:color="auto" w:fill="auto"/>
            <w:vAlign w:val="center"/>
          </w:tcPr>
          <w:p w14:paraId="598F7F72">
            <w:pPr>
              <w:jc w:val="left"/>
              <w:rPr>
                <w:rFonts w:hint="eastAsia" w:ascii="宋体" w:hAnsi="宋体" w:eastAsia="宋体" w:cs="宋体"/>
                <w:i w:val="0"/>
                <w:iCs w:val="0"/>
                <w:color w:val="000000"/>
                <w:sz w:val="21"/>
                <w:szCs w:val="21"/>
                <w:highlight w:val="none"/>
                <w:u w:val="none"/>
              </w:rPr>
            </w:pPr>
          </w:p>
        </w:tc>
      </w:tr>
      <w:tr w14:paraId="6257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336" w:type="pct"/>
            <w:vMerge w:val="continue"/>
            <w:shd w:val="clear" w:color="auto" w:fill="auto"/>
            <w:vAlign w:val="center"/>
          </w:tcPr>
          <w:p w14:paraId="5D5FEE2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9C2DF4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C067D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4、色温：3000-7000K。</w:t>
            </w:r>
          </w:p>
        </w:tc>
        <w:tc>
          <w:tcPr>
            <w:tcW w:w="437" w:type="pct"/>
            <w:shd w:val="clear" w:color="auto" w:fill="auto"/>
            <w:vAlign w:val="center"/>
          </w:tcPr>
          <w:p w14:paraId="4E4D14F1">
            <w:pPr>
              <w:jc w:val="left"/>
              <w:rPr>
                <w:rFonts w:hint="eastAsia" w:ascii="宋体" w:hAnsi="宋体" w:eastAsia="宋体" w:cs="宋体"/>
                <w:i w:val="0"/>
                <w:iCs w:val="0"/>
                <w:color w:val="000000"/>
                <w:sz w:val="21"/>
                <w:szCs w:val="21"/>
                <w:highlight w:val="none"/>
                <w:u w:val="none"/>
              </w:rPr>
            </w:pPr>
          </w:p>
        </w:tc>
      </w:tr>
      <w:tr w14:paraId="3060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6F0029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A1D362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5558C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5、手动和自动两种调光模式，调节级别≥100级。</w:t>
            </w:r>
          </w:p>
        </w:tc>
        <w:tc>
          <w:tcPr>
            <w:tcW w:w="437" w:type="pct"/>
            <w:shd w:val="clear" w:color="auto" w:fill="auto"/>
            <w:vAlign w:val="center"/>
          </w:tcPr>
          <w:p w14:paraId="0089FC38">
            <w:pPr>
              <w:jc w:val="left"/>
              <w:rPr>
                <w:rFonts w:hint="eastAsia" w:ascii="宋体" w:hAnsi="宋体" w:eastAsia="宋体" w:cs="宋体"/>
                <w:i w:val="0"/>
                <w:iCs w:val="0"/>
                <w:color w:val="000000"/>
                <w:sz w:val="21"/>
                <w:szCs w:val="21"/>
                <w:highlight w:val="none"/>
                <w:u w:val="none"/>
              </w:rPr>
            </w:pPr>
          </w:p>
        </w:tc>
      </w:tr>
      <w:tr w14:paraId="642F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trPr>
        <w:tc>
          <w:tcPr>
            <w:tcW w:w="336" w:type="pct"/>
            <w:vMerge w:val="continue"/>
            <w:shd w:val="clear" w:color="auto" w:fill="auto"/>
            <w:vAlign w:val="center"/>
          </w:tcPr>
          <w:p w14:paraId="4F95979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2E690C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BB27C2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6、气泵：40-90Pa，L\M\H 档可调节。</w:t>
            </w:r>
          </w:p>
        </w:tc>
        <w:tc>
          <w:tcPr>
            <w:tcW w:w="437" w:type="pct"/>
            <w:shd w:val="clear" w:color="auto" w:fill="auto"/>
            <w:vAlign w:val="center"/>
          </w:tcPr>
          <w:p w14:paraId="25B80AA0">
            <w:pPr>
              <w:jc w:val="left"/>
              <w:rPr>
                <w:rFonts w:hint="eastAsia" w:ascii="宋体" w:hAnsi="宋体" w:eastAsia="宋体" w:cs="宋体"/>
                <w:i w:val="0"/>
                <w:iCs w:val="0"/>
                <w:color w:val="000000"/>
                <w:sz w:val="21"/>
                <w:szCs w:val="21"/>
                <w:highlight w:val="none"/>
                <w:u w:val="none"/>
              </w:rPr>
            </w:pPr>
          </w:p>
        </w:tc>
      </w:tr>
      <w:tr w14:paraId="07C5A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8EF12B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ADAA4D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E3988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7、气流量：L档≥4L/min；M档≥5L/min；H档≥7L/min。</w:t>
            </w:r>
          </w:p>
        </w:tc>
        <w:tc>
          <w:tcPr>
            <w:tcW w:w="437" w:type="pct"/>
            <w:shd w:val="clear" w:color="auto" w:fill="auto"/>
            <w:vAlign w:val="center"/>
          </w:tcPr>
          <w:p w14:paraId="2BCADD89">
            <w:pPr>
              <w:jc w:val="center"/>
              <w:rPr>
                <w:rFonts w:hint="eastAsia" w:ascii="宋体" w:hAnsi="宋体" w:eastAsia="宋体" w:cs="宋体"/>
                <w:i w:val="0"/>
                <w:iCs w:val="0"/>
                <w:color w:val="000000"/>
                <w:sz w:val="21"/>
                <w:szCs w:val="21"/>
                <w:highlight w:val="none"/>
                <w:u w:val="none"/>
              </w:rPr>
            </w:pPr>
          </w:p>
        </w:tc>
      </w:tr>
      <w:tr w14:paraId="1BC9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C0185B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E725A0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2D38AE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8、具有无线供电技术，抗干扰，防漏电。</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32711D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1E1F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B28C1D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C7543B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C88A4B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9、LED光源与主机分体式设计，具有独立电源和良好的散热性。</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0D91ED28">
            <w:pPr>
              <w:jc w:val="center"/>
              <w:rPr>
                <w:rFonts w:hint="eastAsia" w:ascii="宋体" w:hAnsi="宋体" w:eastAsia="宋体" w:cs="宋体"/>
                <w:i w:val="0"/>
                <w:iCs w:val="0"/>
                <w:color w:val="000000"/>
                <w:sz w:val="21"/>
                <w:szCs w:val="21"/>
                <w:highlight w:val="none"/>
                <w:u w:val="none"/>
              </w:rPr>
            </w:pPr>
          </w:p>
        </w:tc>
      </w:tr>
      <w:tr w14:paraId="53F2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0FF6FB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ED99A8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8803A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10、主灯灯泡寿命具有指示灯显示，可随时掌握主灯剩余寿命情况。</w:t>
            </w:r>
          </w:p>
        </w:tc>
        <w:tc>
          <w:tcPr>
            <w:tcW w:w="437" w:type="pct"/>
            <w:shd w:val="clear" w:color="auto" w:fill="auto"/>
            <w:vAlign w:val="center"/>
          </w:tcPr>
          <w:p w14:paraId="1B310839">
            <w:pPr>
              <w:jc w:val="center"/>
              <w:rPr>
                <w:rFonts w:hint="eastAsia" w:ascii="宋体" w:hAnsi="宋体" w:eastAsia="宋体" w:cs="宋体"/>
                <w:i w:val="0"/>
                <w:iCs w:val="0"/>
                <w:color w:val="000000"/>
                <w:sz w:val="21"/>
                <w:szCs w:val="21"/>
                <w:highlight w:val="none"/>
                <w:u w:val="none"/>
              </w:rPr>
            </w:pPr>
          </w:p>
        </w:tc>
      </w:tr>
      <w:tr w14:paraId="04419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49494B7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noWrap/>
            <w:vAlign w:val="center"/>
          </w:tcPr>
          <w:p w14:paraId="62918DBB">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38017E9F">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超高清电子胃镜（检查型）</w:t>
            </w:r>
          </w:p>
        </w:tc>
      </w:tr>
      <w:tr w14:paraId="3CE4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4C351BD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B5AFDA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46464D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 图像传感器成像。</w:t>
            </w:r>
          </w:p>
        </w:tc>
        <w:tc>
          <w:tcPr>
            <w:tcW w:w="437" w:type="pct"/>
            <w:shd w:val="clear" w:color="auto" w:fill="auto"/>
            <w:vAlign w:val="center"/>
          </w:tcPr>
          <w:p w14:paraId="39282DEA">
            <w:pPr>
              <w:jc w:val="center"/>
              <w:rPr>
                <w:rFonts w:hint="eastAsia" w:ascii="宋体" w:hAnsi="宋体" w:eastAsia="宋体" w:cs="宋体"/>
                <w:i w:val="0"/>
                <w:iCs w:val="0"/>
                <w:color w:val="000000"/>
                <w:sz w:val="21"/>
                <w:szCs w:val="21"/>
                <w:highlight w:val="none"/>
                <w:u w:val="none"/>
              </w:rPr>
            </w:pPr>
          </w:p>
        </w:tc>
      </w:tr>
      <w:tr w14:paraId="1754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59F84DB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DC3E64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C61B4A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2、视场角≥145°。</w:t>
            </w:r>
          </w:p>
        </w:tc>
        <w:tc>
          <w:tcPr>
            <w:tcW w:w="437" w:type="pct"/>
            <w:shd w:val="clear" w:color="auto" w:fill="auto"/>
            <w:vAlign w:val="center"/>
          </w:tcPr>
          <w:p w14:paraId="443605C3">
            <w:pPr>
              <w:jc w:val="center"/>
              <w:rPr>
                <w:rFonts w:hint="eastAsia" w:ascii="宋体" w:hAnsi="宋体" w:eastAsia="宋体" w:cs="宋体"/>
                <w:i w:val="0"/>
                <w:iCs w:val="0"/>
                <w:color w:val="000000"/>
                <w:sz w:val="21"/>
                <w:szCs w:val="21"/>
                <w:highlight w:val="none"/>
                <w:u w:val="none"/>
              </w:rPr>
            </w:pPr>
          </w:p>
        </w:tc>
      </w:tr>
      <w:tr w14:paraId="370C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89E4C8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9A57E6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81EDAE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3、头端部外径≤9.2mm，主软管外径≤9.2mm。</w:t>
            </w:r>
          </w:p>
        </w:tc>
        <w:tc>
          <w:tcPr>
            <w:tcW w:w="437" w:type="pct"/>
            <w:shd w:val="clear" w:color="auto" w:fill="auto"/>
            <w:vAlign w:val="center"/>
          </w:tcPr>
          <w:p w14:paraId="44E3D770">
            <w:pPr>
              <w:jc w:val="center"/>
              <w:rPr>
                <w:rFonts w:hint="eastAsia" w:ascii="宋体" w:hAnsi="宋体" w:eastAsia="宋体" w:cs="宋体"/>
                <w:i w:val="0"/>
                <w:iCs w:val="0"/>
                <w:color w:val="000000"/>
                <w:sz w:val="21"/>
                <w:szCs w:val="21"/>
                <w:highlight w:val="none"/>
                <w:u w:val="none"/>
              </w:rPr>
            </w:pPr>
          </w:p>
        </w:tc>
      </w:tr>
      <w:tr w14:paraId="7AEA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0" w:hRule="atLeast"/>
        </w:trPr>
        <w:tc>
          <w:tcPr>
            <w:tcW w:w="336" w:type="pct"/>
            <w:vMerge w:val="continue"/>
            <w:shd w:val="clear" w:color="auto" w:fill="auto"/>
            <w:vAlign w:val="center"/>
          </w:tcPr>
          <w:p w14:paraId="2FE98F8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5287D42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267C5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295EB32C">
            <w:pPr>
              <w:jc w:val="center"/>
              <w:rPr>
                <w:rFonts w:hint="eastAsia" w:ascii="宋体" w:hAnsi="宋体" w:eastAsia="宋体" w:cs="宋体"/>
                <w:i w:val="0"/>
                <w:iCs w:val="0"/>
                <w:color w:val="000000"/>
                <w:sz w:val="21"/>
                <w:szCs w:val="21"/>
                <w:highlight w:val="none"/>
                <w:u w:val="none"/>
              </w:rPr>
            </w:pPr>
          </w:p>
        </w:tc>
      </w:tr>
      <w:tr w14:paraId="3F7B0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6E28E6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0F5ACD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2DC66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5、弯曲角度上≥210°；下≥90°；左≥100°；右≥100°。</w:t>
            </w:r>
          </w:p>
        </w:tc>
        <w:tc>
          <w:tcPr>
            <w:tcW w:w="437" w:type="pct"/>
            <w:shd w:val="clear" w:color="auto" w:fill="auto"/>
            <w:vAlign w:val="center"/>
          </w:tcPr>
          <w:p w14:paraId="690EE165">
            <w:pPr>
              <w:jc w:val="center"/>
              <w:rPr>
                <w:rFonts w:hint="eastAsia" w:ascii="宋体" w:hAnsi="宋体" w:eastAsia="宋体" w:cs="宋体"/>
                <w:i w:val="0"/>
                <w:iCs w:val="0"/>
                <w:color w:val="000000"/>
                <w:sz w:val="21"/>
                <w:szCs w:val="21"/>
                <w:highlight w:val="none"/>
                <w:u w:val="none"/>
              </w:rPr>
            </w:pPr>
          </w:p>
        </w:tc>
      </w:tr>
      <w:tr w14:paraId="1B07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066E0D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45F6486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EDC11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6、钳道孔径≥2.8mm。</w:t>
            </w:r>
          </w:p>
        </w:tc>
        <w:tc>
          <w:tcPr>
            <w:tcW w:w="437" w:type="pct"/>
            <w:shd w:val="clear" w:color="auto" w:fill="auto"/>
            <w:vAlign w:val="center"/>
          </w:tcPr>
          <w:p w14:paraId="13D23FAB">
            <w:pPr>
              <w:jc w:val="center"/>
              <w:rPr>
                <w:rFonts w:hint="eastAsia" w:ascii="宋体" w:hAnsi="宋体" w:eastAsia="宋体" w:cs="宋体"/>
                <w:i w:val="0"/>
                <w:iCs w:val="0"/>
                <w:color w:val="000000"/>
                <w:sz w:val="21"/>
                <w:szCs w:val="21"/>
                <w:highlight w:val="none"/>
                <w:u w:val="none"/>
              </w:rPr>
            </w:pPr>
          </w:p>
        </w:tc>
      </w:tr>
      <w:tr w14:paraId="664D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065C9A8">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99E96E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BAC842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372FB09B">
            <w:pPr>
              <w:jc w:val="center"/>
              <w:rPr>
                <w:rFonts w:hint="eastAsia" w:ascii="宋体" w:hAnsi="宋体" w:eastAsia="宋体" w:cs="宋体"/>
                <w:i w:val="0"/>
                <w:iCs w:val="0"/>
                <w:color w:val="000000"/>
                <w:sz w:val="21"/>
                <w:szCs w:val="21"/>
                <w:highlight w:val="none"/>
                <w:u w:val="none"/>
              </w:rPr>
            </w:pPr>
          </w:p>
        </w:tc>
      </w:tr>
      <w:tr w14:paraId="50D67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C4EA6A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2DDFEE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C4412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3597D0BC">
            <w:pPr>
              <w:jc w:val="center"/>
              <w:rPr>
                <w:rFonts w:hint="eastAsia" w:ascii="宋体" w:hAnsi="宋体" w:eastAsia="宋体" w:cs="宋体"/>
                <w:i w:val="0"/>
                <w:iCs w:val="0"/>
                <w:color w:val="000000"/>
                <w:sz w:val="21"/>
                <w:szCs w:val="21"/>
                <w:highlight w:val="none"/>
                <w:u w:val="none"/>
              </w:rPr>
            </w:pPr>
          </w:p>
        </w:tc>
      </w:tr>
      <w:tr w14:paraId="750C5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9A63E2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7D23512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7761C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365E9D19">
            <w:pPr>
              <w:jc w:val="center"/>
              <w:rPr>
                <w:rFonts w:hint="eastAsia" w:ascii="宋体" w:hAnsi="宋体" w:eastAsia="宋体" w:cs="宋体"/>
                <w:i w:val="0"/>
                <w:iCs w:val="0"/>
                <w:color w:val="000000"/>
                <w:sz w:val="21"/>
                <w:szCs w:val="21"/>
                <w:highlight w:val="none"/>
                <w:u w:val="none"/>
              </w:rPr>
            </w:pPr>
          </w:p>
        </w:tc>
      </w:tr>
      <w:tr w14:paraId="27E2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5015CE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6CA7375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95E339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10、与主机无线供电技术连接。</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42462A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61390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36" w:type="pct"/>
            <w:vMerge w:val="continue"/>
            <w:shd w:val="clear" w:color="auto" w:fill="auto"/>
            <w:vAlign w:val="center"/>
          </w:tcPr>
          <w:p w14:paraId="3342064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noWrap/>
            <w:vAlign w:val="center"/>
          </w:tcPr>
          <w:p w14:paraId="267DF90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3929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11、三光窗照明，视野明亮且光照更加均匀。</w:t>
            </w:r>
            <w:r>
              <w:rPr>
                <w:rFonts w:hint="eastAsia" w:ascii="宋体" w:hAnsi="宋体" w:eastAsia="宋体" w:cs="宋体"/>
                <w:b/>
                <w:bCs/>
                <w:i w:val="0"/>
                <w:iCs w:val="0"/>
                <w:color w:val="FF0000"/>
                <w:kern w:val="0"/>
                <w:sz w:val="21"/>
                <w:szCs w:val="21"/>
                <w:highlight w:val="none"/>
                <w:u w:val="none"/>
                <w:lang w:val="en-US" w:eastAsia="zh-CN" w:bidi="ar"/>
              </w:rPr>
              <w:t>【提供产品彩页或厂家技术白皮书作为佐证材料】</w:t>
            </w:r>
          </w:p>
        </w:tc>
        <w:tc>
          <w:tcPr>
            <w:tcW w:w="437" w:type="pct"/>
            <w:shd w:val="clear" w:color="auto" w:fill="auto"/>
            <w:vAlign w:val="center"/>
          </w:tcPr>
          <w:p w14:paraId="588632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50249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336" w:type="pct"/>
            <w:vMerge w:val="continue"/>
            <w:shd w:val="clear" w:color="auto" w:fill="auto"/>
            <w:vAlign w:val="center"/>
          </w:tcPr>
          <w:p w14:paraId="453C8A7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5880005E">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4215CA55">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超高清电子胃镜（治疗型）</w:t>
            </w:r>
          </w:p>
        </w:tc>
      </w:tr>
      <w:tr w14:paraId="7896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6176935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2A5B53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480816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6ADBAD60">
            <w:pPr>
              <w:jc w:val="center"/>
              <w:rPr>
                <w:rFonts w:hint="eastAsia" w:ascii="宋体" w:hAnsi="宋体" w:eastAsia="宋体" w:cs="宋体"/>
                <w:i w:val="0"/>
                <w:iCs w:val="0"/>
                <w:color w:val="000000"/>
                <w:sz w:val="21"/>
                <w:szCs w:val="21"/>
                <w:highlight w:val="none"/>
                <w:u w:val="none"/>
              </w:rPr>
            </w:pPr>
          </w:p>
        </w:tc>
      </w:tr>
      <w:tr w14:paraId="7324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4BE79D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7D0888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AEE996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2、视场角≥145°。</w:t>
            </w:r>
          </w:p>
        </w:tc>
        <w:tc>
          <w:tcPr>
            <w:tcW w:w="437" w:type="pct"/>
            <w:shd w:val="clear" w:color="auto" w:fill="auto"/>
            <w:vAlign w:val="center"/>
          </w:tcPr>
          <w:p w14:paraId="426B479F">
            <w:pPr>
              <w:jc w:val="center"/>
              <w:rPr>
                <w:rFonts w:hint="eastAsia" w:ascii="宋体" w:hAnsi="宋体" w:eastAsia="宋体" w:cs="宋体"/>
                <w:i w:val="0"/>
                <w:iCs w:val="0"/>
                <w:color w:val="000000"/>
                <w:sz w:val="21"/>
                <w:szCs w:val="21"/>
                <w:highlight w:val="none"/>
                <w:u w:val="none"/>
              </w:rPr>
            </w:pPr>
          </w:p>
        </w:tc>
      </w:tr>
      <w:tr w14:paraId="461A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D9E860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1E4BC7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AEF4A4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3、头端部外径≤9.8mm，主软管外径≤9.6mm。</w:t>
            </w:r>
          </w:p>
        </w:tc>
        <w:tc>
          <w:tcPr>
            <w:tcW w:w="437" w:type="pct"/>
            <w:shd w:val="clear" w:color="auto" w:fill="auto"/>
            <w:vAlign w:val="center"/>
          </w:tcPr>
          <w:p w14:paraId="29098F5A">
            <w:pPr>
              <w:jc w:val="center"/>
              <w:rPr>
                <w:rFonts w:hint="eastAsia" w:ascii="宋体" w:hAnsi="宋体" w:eastAsia="宋体" w:cs="宋体"/>
                <w:i w:val="0"/>
                <w:iCs w:val="0"/>
                <w:color w:val="000000"/>
                <w:sz w:val="21"/>
                <w:szCs w:val="21"/>
                <w:highlight w:val="none"/>
                <w:u w:val="none"/>
              </w:rPr>
            </w:pPr>
          </w:p>
        </w:tc>
      </w:tr>
      <w:tr w14:paraId="427F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EFD2B8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6311A2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E55C5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 mm。</w:t>
            </w:r>
          </w:p>
        </w:tc>
        <w:tc>
          <w:tcPr>
            <w:tcW w:w="437" w:type="pct"/>
            <w:shd w:val="clear" w:color="auto" w:fill="auto"/>
            <w:vAlign w:val="center"/>
          </w:tcPr>
          <w:p w14:paraId="5BA5898D">
            <w:pPr>
              <w:jc w:val="center"/>
              <w:rPr>
                <w:rFonts w:hint="eastAsia" w:ascii="宋体" w:hAnsi="宋体" w:eastAsia="宋体" w:cs="宋体"/>
                <w:i w:val="0"/>
                <w:iCs w:val="0"/>
                <w:color w:val="000000"/>
                <w:sz w:val="21"/>
                <w:szCs w:val="21"/>
                <w:highlight w:val="none"/>
                <w:u w:val="none"/>
              </w:rPr>
            </w:pPr>
          </w:p>
        </w:tc>
      </w:tr>
      <w:tr w14:paraId="3CFE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502F69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79A794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10B5A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5、弯曲角度上≥210°；下≥120°；左≥100°；右≥100°。</w:t>
            </w:r>
          </w:p>
        </w:tc>
        <w:tc>
          <w:tcPr>
            <w:tcW w:w="437" w:type="pct"/>
            <w:shd w:val="clear" w:color="auto" w:fill="auto"/>
            <w:vAlign w:val="center"/>
          </w:tcPr>
          <w:p w14:paraId="681AEC5C">
            <w:pPr>
              <w:jc w:val="center"/>
              <w:rPr>
                <w:rFonts w:hint="eastAsia" w:ascii="宋体" w:hAnsi="宋体" w:eastAsia="宋体" w:cs="宋体"/>
                <w:i w:val="0"/>
                <w:iCs w:val="0"/>
                <w:color w:val="000000"/>
                <w:sz w:val="21"/>
                <w:szCs w:val="21"/>
                <w:highlight w:val="none"/>
                <w:u w:val="none"/>
              </w:rPr>
            </w:pPr>
          </w:p>
        </w:tc>
      </w:tr>
      <w:tr w14:paraId="38F01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7AB969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9D504F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4E6BA8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6、钳道孔径≥3.2mm。</w:t>
            </w:r>
          </w:p>
        </w:tc>
        <w:tc>
          <w:tcPr>
            <w:tcW w:w="437" w:type="pct"/>
            <w:shd w:val="clear" w:color="auto" w:fill="auto"/>
            <w:vAlign w:val="center"/>
          </w:tcPr>
          <w:p w14:paraId="4E4EC1FD">
            <w:pPr>
              <w:jc w:val="center"/>
              <w:rPr>
                <w:rFonts w:hint="eastAsia" w:ascii="宋体" w:hAnsi="宋体" w:eastAsia="宋体" w:cs="宋体"/>
                <w:i w:val="0"/>
                <w:iCs w:val="0"/>
                <w:color w:val="000000"/>
                <w:sz w:val="21"/>
                <w:szCs w:val="21"/>
                <w:highlight w:val="none"/>
                <w:u w:val="none"/>
              </w:rPr>
            </w:pPr>
          </w:p>
        </w:tc>
      </w:tr>
      <w:tr w14:paraId="4580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946C95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793510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657729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6FF3FA72">
            <w:pPr>
              <w:jc w:val="center"/>
              <w:rPr>
                <w:rFonts w:hint="eastAsia" w:ascii="宋体" w:hAnsi="宋体" w:eastAsia="宋体" w:cs="宋体"/>
                <w:i w:val="0"/>
                <w:iCs w:val="0"/>
                <w:color w:val="000000"/>
                <w:sz w:val="21"/>
                <w:szCs w:val="21"/>
                <w:highlight w:val="none"/>
                <w:u w:val="none"/>
              </w:rPr>
            </w:pPr>
          </w:p>
        </w:tc>
      </w:tr>
      <w:tr w14:paraId="63D4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D02CBC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AD6C61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84C815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7F219248">
            <w:pPr>
              <w:jc w:val="center"/>
              <w:rPr>
                <w:rFonts w:hint="eastAsia" w:ascii="宋体" w:hAnsi="宋体" w:eastAsia="宋体" w:cs="宋体"/>
                <w:i w:val="0"/>
                <w:iCs w:val="0"/>
                <w:color w:val="000000"/>
                <w:sz w:val="21"/>
                <w:szCs w:val="21"/>
                <w:highlight w:val="none"/>
                <w:u w:val="none"/>
              </w:rPr>
            </w:pPr>
          </w:p>
        </w:tc>
      </w:tr>
      <w:tr w14:paraId="3E7F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68357F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2F762C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6279F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17D09BED">
            <w:pPr>
              <w:jc w:val="center"/>
              <w:rPr>
                <w:rFonts w:hint="eastAsia" w:ascii="宋体" w:hAnsi="宋体" w:eastAsia="宋体" w:cs="宋体"/>
                <w:i w:val="0"/>
                <w:iCs w:val="0"/>
                <w:color w:val="000000"/>
                <w:sz w:val="21"/>
                <w:szCs w:val="21"/>
                <w:highlight w:val="none"/>
                <w:u w:val="none"/>
              </w:rPr>
            </w:pPr>
          </w:p>
        </w:tc>
      </w:tr>
      <w:tr w14:paraId="1477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9B3C71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971847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B9C0F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31489F05">
            <w:pPr>
              <w:jc w:val="center"/>
              <w:rPr>
                <w:rFonts w:hint="eastAsia" w:ascii="宋体" w:hAnsi="宋体" w:eastAsia="宋体" w:cs="宋体"/>
                <w:i w:val="0"/>
                <w:iCs w:val="0"/>
                <w:color w:val="000000"/>
                <w:sz w:val="21"/>
                <w:szCs w:val="21"/>
                <w:highlight w:val="none"/>
                <w:u w:val="none"/>
              </w:rPr>
            </w:pPr>
          </w:p>
        </w:tc>
      </w:tr>
      <w:tr w14:paraId="726DA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3" w:hRule="atLeast"/>
        </w:trPr>
        <w:tc>
          <w:tcPr>
            <w:tcW w:w="336" w:type="pct"/>
            <w:vMerge w:val="continue"/>
            <w:shd w:val="clear" w:color="auto" w:fill="auto"/>
            <w:vAlign w:val="center"/>
          </w:tcPr>
          <w:p w14:paraId="06C6746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73E64FCC">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50D74EB6">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超高清电子胃镜（放大型）</w:t>
            </w:r>
          </w:p>
        </w:tc>
      </w:tr>
      <w:tr w14:paraId="6CF0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771C2E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0CB74C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2DF00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5B91AB81">
            <w:pPr>
              <w:jc w:val="center"/>
              <w:rPr>
                <w:rFonts w:hint="eastAsia" w:ascii="宋体" w:hAnsi="宋体" w:eastAsia="宋体" w:cs="宋体"/>
                <w:i w:val="0"/>
                <w:iCs w:val="0"/>
                <w:color w:val="000000"/>
                <w:sz w:val="21"/>
                <w:szCs w:val="21"/>
                <w:highlight w:val="none"/>
                <w:u w:val="none"/>
              </w:rPr>
            </w:pPr>
          </w:p>
        </w:tc>
      </w:tr>
      <w:tr w14:paraId="26D08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7C52E89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D5E32A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6199A3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2、视场角：放大观察≥95°；普通观察≥145°</w:t>
            </w:r>
          </w:p>
        </w:tc>
        <w:tc>
          <w:tcPr>
            <w:tcW w:w="437" w:type="pct"/>
            <w:shd w:val="clear" w:color="auto" w:fill="auto"/>
            <w:vAlign w:val="center"/>
          </w:tcPr>
          <w:p w14:paraId="0CF7D40D">
            <w:pPr>
              <w:jc w:val="center"/>
              <w:rPr>
                <w:rFonts w:hint="eastAsia" w:ascii="宋体" w:hAnsi="宋体" w:eastAsia="宋体" w:cs="宋体"/>
                <w:i w:val="0"/>
                <w:iCs w:val="0"/>
                <w:color w:val="000000"/>
                <w:sz w:val="21"/>
                <w:szCs w:val="21"/>
                <w:highlight w:val="none"/>
                <w:u w:val="none"/>
              </w:rPr>
            </w:pPr>
          </w:p>
        </w:tc>
      </w:tr>
      <w:tr w14:paraId="70FE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ED12F4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75BF9B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31768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3、头端部外径≤9.9mm，主软管外径≤9.6mm。</w:t>
            </w:r>
          </w:p>
        </w:tc>
        <w:tc>
          <w:tcPr>
            <w:tcW w:w="437" w:type="pct"/>
            <w:shd w:val="clear" w:color="auto" w:fill="auto"/>
            <w:vAlign w:val="center"/>
          </w:tcPr>
          <w:p w14:paraId="1D7C1144">
            <w:pPr>
              <w:jc w:val="center"/>
              <w:rPr>
                <w:rFonts w:hint="eastAsia" w:ascii="宋体" w:hAnsi="宋体" w:eastAsia="宋体" w:cs="宋体"/>
                <w:i w:val="0"/>
                <w:iCs w:val="0"/>
                <w:color w:val="000000"/>
                <w:sz w:val="21"/>
                <w:szCs w:val="21"/>
                <w:highlight w:val="none"/>
                <w:u w:val="none"/>
              </w:rPr>
            </w:pPr>
          </w:p>
        </w:tc>
      </w:tr>
      <w:tr w14:paraId="30F89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2BDBD4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215826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358985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4、景深：放大观察≥1.5-3mm；普通观察≥3-100mm。</w:t>
            </w:r>
          </w:p>
        </w:tc>
        <w:tc>
          <w:tcPr>
            <w:tcW w:w="437" w:type="pct"/>
            <w:shd w:val="clear" w:color="auto" w:fill="auto"/>
            <w:vAlign w:val="center"/>
          </w:tcPr>
          <w:p w14:paraId="2DD1C4B6">
            <w:pPr>
              <w:jc w:val="center"/>
              <w:rPr>
                <w:rFonts w:hint="eastAsia" w:ascii="宋体" w:hAnsi="宋体" w:eastAsia="宋体" w:cs="宋体"/>
                <w:i w:val="0"/>
                <w:iCs w:val="0"/>
                <w:color w:val="000000"/>
                <w:sz w:val="21"/>
                <w:szCs w:val="21"/>
                <w:highlight w:val="none"/>
                <w:u w:val="none"/>
              </w:rPr>
            </w:pPr>
          </w:p>
        </w:tc>
      </w:tr>
      <w:tr w14:paraId="540D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26D39BD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CD6394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B5304D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5、弯曲角度：上≥210°下≥120°；左≥100°；右≥100°。</w:t>
            </w:r>
          </w:p>
        </w:tc>
        <w:tc>
          <w:tcPr>
            <w:tcW w:w="437" w:type="pct"/>
            <w:shd w:val="clear" w:color="auto" w:fill="auto"/>
            <w:vAlign w:val="center"/>
          </w:tcPr>
          <w:p w14:paraId="586324DA">
            <w:pPr>
              <w:jc w:val="center"/>
              <w:rPr>
                <w:rFonts w:hint="eastAsia" w:ascii="宋体" w:hAnsi="宋体" w:eastAsia="宋体" w:cs="宋体"/>
                <w:i w:val="0"/>
                <w:iCs w:val="0"/>
                <w:color w:val="000000"/>
                <w:sz w:val="21"/>
                <w:szCs w:val="21"/>
                <w:highlight w:val="none"/>
                <w:u w:val="none"/>
              </w:rPr>
            </w:pPr>
          </w:p>
        </w:tc>
      </w:tr>
      <w:tr w14:paraId="78AB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7A80C7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DE34D8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615F8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6、钳道孔径≥2.8mm。</w:t>
            </w:r>
          </w:p>
        </w:tc>
        <w:tc>
          <w:tcPr>
            <w:tcW w:w="437" w:type="pct"/>
            <w:shd w:val="clear" w:color="auto" w:fill="auto"/>
            <w:vAlign w:val="center"/>
          </w:tcPr>
          <w:p w14:paraId="5DAD920A">
            <w:pPr>
              <w:jc w:val="center"/>
              <w:rPr>
                <w:rFonts w:hint="eastAsia" w:ascii="宋体" w:hAnsi="宋体" w:eastAsia="宋体" w:cs="宋体"/>
                <w:i w:val="0"/>
                <w:iCs w:val="0"/>
                <w:color w:val="000000"/>
                <w:sz w:val="21"/>
                <w:szCs w:val="21"/>
                <w:highlight w:val="none"/>
                <w:u w:val="none"/>
              </w:rPr>
            </w:pPr>
          </w:p>
        </w:tc>
      </w:tr>
      <w:tr w14:paraId="65BC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4EC51D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79C114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30EC57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7、工作长度≥1050mm；全长≥1350mm。</w:t>
            </w:r>
          </w:p>
        </w:tc>
        <w:tc>
          <w:tcPr>
            <w:tcW w:w="437" w:type="pct"/>
            <w:shd w:val="clear" w:color="auto" w:fill="auto"/>
            <w:vAlign w:val="center"/>
          </w:tcPr>
          <w:p w14:paraId="0B1318D8">
            <w:pPr>
              <w:jc w:val="center"/>
              <w:rPr>
                <w:rFonts w:hint="eastAsia" w:ascii="宋体" w:hAnsi="宋体" w:eastAsia="宋体" w:cs="宋体"/>
                <w:i w:val="0"/>
                <w:iCs w:val="0"/>
                <w:color w:val="000000"/>
                <w:sz w:val="21"/>
                <w:szCs w:val="21"/>
                <w:highlight w:val="none"/>
                <w:u w:val="none"/>
              </w:rPr>
            </w:pPr>
          </w:p>
        </w:tc>
      </w:tr>
      <w:tr w14:paraId="4FCAC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336" w:type="pct"/>
            <w:vMerge w:val="continue"/>
            <w:shd w:val="clear" w:color="auto" w:fill="auto"/>
            <w:vAlign w:val="center"/>
          </w:tcPr>
          <w:p w14:paraId="3193DD9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AAE0CB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8606AF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07CCC943">
            <w:pPr>
              <w:jc w:val="center"/>
              <w:rPr>
                <w:rFonts w:hint="eastAsia" w:ascii="宋体" w:hAnsi="宋体" w:eastAsia="宋体" w:cs="宋体"/>
                <w:i w:val="0"/>
                <w:iCs w:val="0"/>
                <w:color w:val="000000"/>
                <w:sz w:val="21"/>
                <w:szCs w:val="21"/>
                <w:highlight w:val="none"/>
                <w:u w:val="none"/>
              </w:rPr>
            </w:pPr>
          </w:p>
        </w:tc>
      </w:tr>
      <w:tr w14:paraId="334F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47891A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25688C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1CACDA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740DB89F">
            <w:pPr>
              <w:jc w:val="center"/>
              <w:rPr>
                <w:rFonts w:hint="eastAsia" w:ascii="宋体" w:hAnsi="宋体" w:eastAsia="宋体" w:cs="宋体"/>
                <w:i w:val="0"/>
                <w:iCs w:val="0"/>
                <w:color w:val="000000"/>
                <w:sz w:val="21"/>
                <w:szCs w:val="21"/>
                <w:highlight w:val="none"/>
                <w:u w:val="none"/>
              </w:rPr>
            </w:pPr>
          </w:p>
        </w:tc>
      </w:tr>
      <w:tr w14:paraId="31FD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DA974C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1EBD91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6D8466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2292AB02">
            <w:pPr>
              <w:jc w:val="center"/>
              <w:rPr>
                <w:rFonts w:hint="eastAsia" w:ascii="宋体" w:hAnsi="宋体" w:eastAsia="宋体" w:cs="宋体"/>
                <w:i w:val="0"/>
                <w:iCs w:val="0"/>
                <w:color w:val="000000"/>
                <w:sz w:val="21"/>
                <w:szCs w:val="21"/>
                <w:highlight w:val="none"/>
                <w:u w:val="none"/>
              </w:rPr>
            </w:pPr>
          </w:p>
        </w:tc>
      </w:tr>
      <w:tr w14:paraId="3F25D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71CFD9D">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5AF7A35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00C7B13A">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超高清电子结肠镜（检查型）</w:t>
            </w:r>
          </w:p>
        </w:tc>
      </w:tr>
      <w:tr w14:paraId="7EF5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87BF27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EF611C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D7D66E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4F33FDB0">
            <w:pPr>
              <w:jc w:val="center"/>
              <w:rPr>
                <w:rFonts w:hint="eastAsia" w:ascii="宋体" w:hAnsi="宋体" w:eastAsia="宋体" w:cs="宋体"/>
                <w:i w:val="0"/>
                <w:iCs w:val="0"/>
                <w:color w:val="000000"/>
                <w:sz w:val="21"/>
                <w:szCs w:val="21"/>
                <w:highlight w:val="none"/>
                <w:u w:val="none"/>
              </w:rPr>
            </w:pPr>
          </w:p>
        </w:tc>
      </w:tr>
      <w:tr w14:paraId="1BC6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C6FD6D1">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F932FA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93194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2、视场角≥170°。</w:t>
            </w:r>
          </w:p>
        </w:tc>
        <w:tc>
          <w:tcPr>
            <w:tcW w:w="437" w:type="pct"/>
            <w:shd w:val="clear" w:color="auto" w:fill="auto"/>
            <w:vAlign w:val="center"/>
          </w:tcPr>
          <w:p w14:paraId="4E3DE332">
            <w:pPr>
              <w:jc w:val="center"/>
              <w:rPr>
                <w:rFonts w:hint="eastAsia" w:ascii="宋体" w:hAnsi="宋体" w:eastAsia="宋体" w:cs="宋体"/>
                <w:i w:val="0"/>
                <w:iCs w:val="0"/>
                <w:color w:val="000000"/>
                <w:sz w:val="21"/>
                <w:szCs w:val="21"/>
                <w:highlight w:val="none"/>
                <w:u w:val="none"/>
              </w:rPr>
            </w:pPr>
          </w:p>
        </w:tc>
      </w:tr>
      <w:tr w14:paraId="4666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B41FD80">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AC5D7A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AC8744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3、头端部外径≤12.2mm，主软管外径≤12.0mm。</w:t>
            </w:r>
          </w:p>
        </w:tc>
        <w:tc>
          <w:tcPr>
            <w:tcW w:w="437" w:type="pct"/>
            <w:shd w:val="clear" w:color="auto" w:fill="auto"/>
            <w:vAlign w:val="center"/>
          </w:tcPr>
          <w:p w14:paraId="6CC455EE">
            <w:pPr>
              <w:jc w:val="center"/>
              <w:rPr>
                <w:rFonts w:hint="eastAsia" w:ascii="宋体" w:hAnsi="宋体" w:eastAsia="宋体" w:cs="宋体"/>
                <w:i w:val="0"/>
                <w:iCs w:val="0"/>
                <w:color w:val="000000"/>
                <w:sz w:val="21"/>
                <w:szCs w:val="21"/>
                <w:highlight w:val="none"/>
                <w:u w:val="none"/>
              </w:rPr>
            </w:pPr>
          </w:p>
        </w:tc>
      </w:tr>
      <w:tr w14:paraId="6ACCA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22C0D3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F6644AA">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93B82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33058D05">
            <w:pPr>
              <w:jc w:val="center"/>
              <w:rPr>
                <w:rFonts w:hint="eastAsia" w:ascii="宋体" w:hAnsi="宋体" w:eastAsia="宋体" w:cs="宋体"/>
                <w:i w:val="0"/>
                <w:iCs w:val="0"/>
                <w:color w:val="000000"/>
                <w:sz w:val="21"/>
                <w:szCs w:val="21"/>
                <w:highlight w:val="none"/>
                <w:u w:val="none"/>
              </w:rPr>
            </w:pPr>
          </w:p>
        </w:tc>
      </w:tr>
      <w:tr w14:paraId="122C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0C8A207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C657FC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8EFA6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6992CCD5">
            <w:pPr>
              <w:jc w:val="center"/>
              <w:rPr>
                <w:rFonts w:hint="eastAsia" w:ascii="宋体" w:hAnsi="宋体" w:eastAsia="宋体" w:cs="宋体"/>
                <w:i w:val="0"/>
                <w:iCs w:val="0"/>
                <w:color w:val="000000"/>
                <w:sz w:val="21"/>
                <w:szCs w:val="21"/>
                <w:highlight w:val="none"/>
                <w:u w:val="none"/>
              </w:rPr>
            </w:pPr>
          </w:p>
        </w:tc>
      </w:tr>
      <w:tr w14:paraId="0C91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644F95C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D7DED2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A15945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6、钳道孔径≥3.7mm。</w:t>
            </w:r>
          </w:p>
        </w:tc>
        <w:tc>
          <w:tcPr>
            <w:tcW w:w="437" w:type="pct"/>
            <w:shd w:val="clear" w:color="auto" w:fill="auto"/>
            <w:vAlign w:val="center"/>
          </w:tcPr>
          <w:p w14:paraId="6053E9CA">
            <w:pPr>
              <w:jc w:val="center"/>
              <w:rPr>
                <w:rFonts w:hint="eastAsia" w:ascii="宋体" w:hAnsi="宋体" w:eastAsia="宋体" w:cs="宋体"/>
                <w:i w:val="0"/>
                <w:iCs w:val="0"/>
                <w:color w:val="000000"/>
                <w:sz w:val="21"/>
                <w:szCs w:val="21"/>
                <w:highlight w:val="none"/>
                <w:u w:val="none"/>
              </w:rPr>
            </w:pPr>
          </w:p>
        </w:tc>
      </w:tr>
      <w:tr w14:paraId="4C69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18FA24C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7DDC7D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0404C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7、工作长度≥1350mm。</w:t>
            </w:r>
          </w:p>
        </w:tc>
        <w:tc>
          <w:tcPr>
            <w:tcW w:w="437" w:type="pct"/>
            <w:shd w:val="clear" w:color="auto" w:fill="auto"/>
            <w:vAlign w:val="center"/>
          </w:tcPr>
          <w:p w14:paraId="7085CA44">
            <w:pPr>
              <w:jc w:val="center"/>
              <w:rPr>
                <w:rFonts w:hint="eastAsia" w:ascii="宋体" w:hAnsi="宋体" w:eastAsia="宋体" w:cs="宋体"/>
                <w:i w:val="0"/>
                <w:iCs w:val="0"/>
                <w:color w:val="000000"/>
                <w:sz w:val="21"/>
                <w:szCs w:val="21"/>
                <w:highlight w:val="none"/>
                <w:u w:val="none"/>
              </w:rPr>
            </w:pPr>
          </w:p>
        </w:tc>
      </w:tr>
      <w:tr w14:paraId="1F04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5C2B11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4C097F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FFAF77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7323D36E">
            <w:pPr>
              <w:jc w:val="center"/>
              <w:rPr>
                <w:rFonts w:hint="eastAsia" w:ascii="宋体" w:hAnsi="宋体" w:eastAsia="宋体" w:cs="宋体"/>
                <w:i w:val="0"/>
                <w:iCs w:val="0"/>
                <w:color w:val="000000"/>
                <w:sz w:val="21"/>
                <w:szCs w:val="21"/>
                <w:highlight w:val="none"/>
                <w:u w:val="none"/>
              </w:rPr>
            </w:pPr>
          </w:p>
        </w:tc>
      </w:tr>
      <w:tr w14:paraId="5B2F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740B94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208CD2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5D434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4BF44F80">
            <w:pPr>
              <w:jc w:val="center"/>
              <w:rPr>
                <w:rFonts w:hint="eastAsia" w:ascii="宋体" w:hAnsi="宋体" w:eastAsia="宋体" w:cs="宋体"/>
                <w:i w:val="0"/>
                <w:iCs w:val="0"/>
                <w:color w:val="000000"/>
                <w:sz w:val="21"/>
                <w:szCs w:val="21"/>
                <w:highlight w:val="none"/>
                <w:u w:val="none"/>
              </w:rPr>
            </w:pPr>
          </w:p>
        </w:tc>
      </w:tr>
      <w:tr w14:paraId="67C3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0E914A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526DD5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20273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501DAB31">
            <w:pPr>
              <w:jc w:val="center"/>
              <w:rPr>
                <w:rFonts w:hint="eastAsia" w:ascii="宋体" w:hAnsi="宋体" w:eastAsia="宋体" w:cs="宋体"/>
                <w:i w:val="0"/>
                <w:iCs w:val="0"/>
                <w:color w:val="000000"/>
                <w:sz w:val="21"/>
                <w:szCs w:val="21"/>
                <w:highlight w:val="none"/>
                <w:u w:val="none"/>
              </w:rPr>
            </w:pPr>
          </w:p>
        </w:tc>
      </w:tr>
      <w:tr w14:paraId="5CD3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6593967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52052B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808D2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w:t>
            </w:r>
          </w:p>
        </w:tc>
        <w:tc>
          <w:tcPr>
            <w:tcW w:w="437" w:type="pct"/>
            <w:shd w:val="clear" w:color="auto" w:fill="auto"/>
            <w:vAlign w:val="center"/>
          </w:tcPr>
          <w:p w14:paraId="74B7AE87">
            <w:pPr>
              <w:jc w:val="center"/>
              <w:rPr>
                <w:rFonts w:hint="eastAsia" w:ascii="宋体" w:hAnsi="宋体" w:eastAsia="宋体" w:cs="宋体"/>
                <w:i w:val="0"/>
                <w:iCs w:val="0"/>
                <w:color w:val="000000"/>
                <w:sz w:val="21"/>
                <w:szCs w:val="21"/>
                <w:highlight w:val="none"/>
                <w:u w:val="none"/>
              </w:rPr>
            </w:pPr>
          </w:p>
        </w:tc>
      </w:tr>
      <w:tr w14:paraId="6A1A8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78CBBC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FD4542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67830C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7B44B59A">
            <w:pPr>
              <w:jc w:val="center"/>
              <w:rPr>
                <w:rFonts w:hint="eastAsia" w:ascii="宋体" w:hAnsi="宋体" w:eastAsia="宋体" w:cs="宋体"/>
                <w:i w:val="0"/>
                <w:iCs w:val="0"/>
                <w:color w:val="000000"/>
                <w:sz w:val="21"/>
                <w:szCs w:val="21"/>
                <w:highlight w:val="none"/>
                <w:u w:val="none"/>
              </w:rPr>
            </w:pPr>
          </w:p>
        </w:tc>
      </w:tr>
      <w:tr w14:paraId="247B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D36F49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4BD02F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3E28F6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5162E4CA">
            <w:pPr>
              <w:jc w:val="center"/>
              <w:rPr>
                <w:rFonts w:hint="eastAsia" w:ascii="宋体" w:hAnsi="宋体" w:eastAsia="宋体" w:cs="宋体"/>
                <w:i w:val="0"/>
                <w:iCs w:val="0"/>
                <w:color w:val="000000"/>
                <w:sz w:val="21"/>
                <w:szCs w:val="21"/>
                <w:highlight w:val="none"/>
                <w:u w:val="none"/>
              </w:rPr>
            </w:pPr>
          </w:p>
        </w:tc>
      </w:tr>
      <w:tr w14:paraId="68C9A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4156E5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C40C43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CC3C90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4740DCFE">
            <w:pPr>
              <w:jc w:val="center"/>
              <w:rPr>
                <w:rFonts w:hint="eastAsia" w:ascii="宋体" w:hAnsi="宋体" w:eastAsia="宋体" w:cs="宋体"/>
                <w:i w:val="0"/>
                <w:iCs w:val="0"/>
                <w:color w:val="000000"/>
                <w:sz w:val="21"/>
                <w:szCs w:val="21"/>
                <w:highlight w:val="none"/>
                <w:u w:val="none"/>
              </w:rPr>
            </w:pPr>
          </w:p>
        </w:tc>
      </w:tr>
      <w:tr w14:paraId="3DE23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8" w:hRule="atLeast"/>
        </w:trPr>
        <w:tc>
          <w:tcPr>
            <w:tcW w:w="336" w:type="pct"/>
            <w:vMerge w:val="continue"/>
            <w:shd w:val="clear" w:color="auto" w:fill="auto"/>
            <w:vAlign w:val="center"/>
          </w:tcPr>
          <w:p w14:paraId="2CE0B8DA">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7713C82F">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3F0CCEEB">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超高清电子结肠镜（治疗型）</w:t>
            </w:r>
          </w:p>
        </w:tc>
      </w:tr>
      <w:tr w14:paraId="3CC7D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A61D8E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C4ACED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9BD93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7BA8BC47">
            <w:pPr>
              <w:jc w:val="center"/>
              <w:rPr>
                <w:rFonts w:hint="eastAsia" w:ascii="宋体" w:hAnsi="宋体" w:eastAsia="宋体" w:cs="宋体"/>
                <w:i w:val="0"/>
                <w:iCs w:val="0"/>
                <w:color w:val="000000"/>
                <w:sz w:val="21"/>
                <w:szCs w:val="21"/>
                <w:highlight w:val="none"/>
                <w:u w:val="none"/>
              </w:rPr>
            </w:pPr>
          </w:p>
        </w:tc>
      </w:tr>
      <w:tr w14:paraId="2489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900732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BA5BD7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DAC3A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2、视场角≥170°。</w:t>
            </w:r>
          </w:p>
        </w:tc>
        <w:tc>
          <w:tcPr>
            <w:tcW w:w="437" w:type="pct"/>
            <w:shd w:val="clear" w:color="auto" w:fill="auto"/>
            <w:vAlign w:val="center"/>
          </w:tcPr>
          <w:p w14:paraId="60EF0CD2">
            <w:pPr>
              <w:jc w:val="center"/>
              <w:rPr>
                <w:rFonts w:hint="eastAsia" w:ascii="宋体" w:hAnsi="宋体" w:eastAsia="宋体" w:cs="宋体"/>
                <w:i w:val="0"/>
                <w:iCs w:val="0"/>
                <w:color w:val="000000"/>
                <w:sz w:val="21"/>
                <w:szCs w:val="21"/>
                <w:highlight w:val="none"/>
                <w:u w:val="none"/>
              </w:rPr>
            </w:pPr>
          </w:p>
        </w:tc>
      </w:tr>
      <w:tr w14:paraId="431F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07D589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2E19E6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01B458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3、头端部外径≤12.2mm，主软管外径≤12.0mm。</w:t>
            </w:r>
          </w:p>
        </w:tc>
        <w:tc>
          <w:tcPr>
            <w:tcW w:w="437" w:type="pct"/>
            <w:shd w:val="clear" w:color="auto" w:fill="auto"/>
            <w:vAlign w:val="center"/>
          </w:tcPr>
          <w:p w14:paraId="22F944CC">
            <w:pPr>
              <w:jc w:val="center"/>
              <w:rPr>
                <w:rFonts w:hint="eastAsia" w:ascii="宋体" w:hAnsi="宋体" w:eastAsia="宋体" w:cs="宋体"/>
                <w:i w:val="0"/>
                <w:iCs w:val="0"/>
                <w:color w:val="000000"/>
                <w:sz w:val="21"/>
                <w:szCs w:val="21"/>
                <w:highlight w:val="none"/>
                <w:u w:val="none"/>
              </w:rPr>
            </w:pPr>
          </w:p>
        </w:tc>
      </w:tr>
      <w:tr w14:paraId="3029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457541E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C5A5A3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5948A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4、景深：2-100mm。</w:t>
            </w:r>
          </w:p>
        </w:tc>
        <w:tc>
          <w:tcPr>
            <w:tcW w:w="437" w:type="pct"/>
            <w:shd w:val="clear" w:color="auto" w:fill="auto"/>
            <w:vAlign w:val="center"/>
          </w:tcPr>
          <w:p w14:paraId="7A71CE8A">
            <w:pPr>
              <w:jc w:val="center"/>
              <w:rPr>
                <w:rFonts w:hint="eastAsia" w:ascii="宋体" w:hAnsi="宋体" w:eastAsia="宋体" w:cs="宋体"/>
                <w:i w:val="0"/>
                <w:iCs w:val="0"/>
                <w:color w:val="000000"/>
                <w:sz w:val="21"/>
                <w:szCs w:val="21"/>
                <w:highlight w:val="none"/>
                <w:u w:val="none"/>
              </w:rPr>
            </w:pPr>
          </w:p>
        </w:tc>
      </w:tr>
      <w:tr w14:paraId="4410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FB3F80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8C7610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867A6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5BA8AF08">
            <w:pPr>
              <w:jc w:val="center"/>
              <w:rPr>
                <w:rFonts w:hint="eastAsia" w:ascii="宋体" w:hAnsi="宋体" w:eastAsia="宋体" w:cs="宋体"/>
                <w:i w:val="0"/>
                <w:iCs w:val="0"/>
                <w:color w:val="000000"/>
                <w:sz w:val="21"/>
                <w:szCs w:val="21"/>
                <w:highlight w:val="none"/>
                <w:u w:val="none"/>
              </w:rPr>
            </w:pPr>
          </w:p>
        </w:tc>
      </w:tr>
      <w:tr w14:paraId="250C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2993B36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596246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3206F8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6、钳道孔径≥4.2mm。</w:t>
            </w:r>
          </w:p>
        </w:tc>
        <w:tc>
          <w:tcPr>
            <w:tcW w:w="437" w:type="pct"/>
            <w:shd w:val="clear" w:color="auto" w:fill="auto"/>
            <w:vAlign w:val="center"/>
          </w:tcPr>
          <w:p w14:paraId="722ACDD2">
            <w:pPr>
              <w:jc w:val="center"/>
              <w:rPr>
                <w:rFonts w:hint="eastAsia" w:ascii="宋体" w:hAnsi="宋体" w:eastAsia="宋体" w:cs="宋体"/>
                <w:i w:val="0"/>
                <w:iCs w:val="0"/>
                <w:color w:val="000000"/>
                <w:sz w:val="21"/>
                <w:szCs w:val="21"/>
                <w:highlight w:val="none"/>
                <w:u w:val="none"/>
              </w:rPr>
            </w:pPr>
          </w:p>
        </w:tc>
      </w:tr>
      <w:tr w14:paraId="400C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4ABD1C0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93DF7B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FD7253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7、工作长度≥1350mm。</w:t>
            </w:r>
          </w:p>
        </w:tc>
        <w:tc>
          <w:tcPr>
            <w:tcW w:w="437" w:type="pct"/>
            <w:shd w:val="clear" w:color="auto" w:fill="auto"/>
            <w:vAlign w:val="center"/>
          </w:tcPr>
          <w:p w14:paraId="3EC7B97C">
            <w:pPr>
              <w:jc w:val="center"/>
              <w:rPr>
                <w:rFonts w:hint="eastAsia" w:ascii="宋体" w:hAnsi="宋体" w:eastAsia="宋体" w:cs="宋体"/>
                <w:i w:val="0"/>
                <w:iCs w:val="0"/>
                <w:color w:val="000000"/>
                <w:sz w:val="21"/>
                <w:szCs w:val="21"/>
                <w:highlight w:val="none"/>
                <w:u w:val="none"/>
              </w:rPr>
            </w:pPr>
          </w:p>
        </w:tc>
      </w:tr>
      <w:tr w14:paraId="63D4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36EFE82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78A01F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04479F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w:t>
            </w:r>
          </w:p>
        </w:tc>
        <w:tc>
          <w:tcPr>
            <w:tcW w:w="437" w:type="pct"/>
            <w:shd w:val="clear" w:color="auto" w:fill="auto"/>
            <w:vAlign w:val="center"/>
          </w:tcPr>
          <w:p w14:paraId="281C95DA">
            <w:pPr>
              <w:jc w:val="center"/>
              <w:rPr>
                <w:rFonts w:hint="eastAsia" w:ascii="宋体" w:hAnsi="宋体" w:eastAsia="宋体" w:cs="宋体"/>
                <w:i w:val="0"/>
                <w:iCs w:val="0"/>
                <w:color w:val="000000"/>
                <w:sz w:val="21"/>
                <w:szCs w:val="21"/>
                <w:highlight w:val="none"/>
                <w:u w:val="none"/>
              </w:rPr>
            </w:pPr>
          </w:p>
        </w:tc>
      </w:tr>
      <w:tr w14:paraId="0C23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7D7D1EB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365A64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36AC3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5390E5F8">
            <w:pPr>
              <w:jc w:val="center"/>
              <w:rPr>
                <w:rFonts w:hint="eastAsia" w:ascii="宋体" w:hAnsi="宋体" w:eastAsia="宋体" w:cs="宋体"/>
                <w:i w:val="0"/>
                <w:iCs w:val="0"/>
                <w:color w:val="000000"/>
                <w:sz w:val="21"/>
                <w:szCs w:val="21"/>
                <w:highlight w:val="none"/>
                <w:u w:val="none"/>
              </w:rPr>
            </w:pPr>
          </w:p>
        </w:tc>
      </w:tr>
      <w:tr w14:paraId="1F1A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336" w:type="pct"/>
            <w:vMerge w:val="continue"/>
            <w:shd w:val="clear" w:color="auto" w:fill="auto"/>
            <w:vAlign w:val="center"/>
          </w:tcPr>
          <w:p w14:paraId="5542D33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238B1D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C200E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10、与主机非辐射式无线供电。</w:t>
            </w:r>
          </w:p>
        </w:tc>
        <w:tc>
          <w:tcPr>
            <w:tcW w:w="437" w:type="pct"/>
            <w:shd w:val="clear" w:color="auto" w:fill="auto"/>
            <w:vAlign w:val="center"/>
          </w:tcPr>
          <w:p w14:paraId="7F728130">
            <w:pPr>
              <w:jc w:val="center"/>
              <w:rPr>
                <w:rFonts w:hint="eastAsia" w:ascii="宋体" w:hAnsi="宋体" w:eastAsia="宋体" w:cs="宋体"/>
                <w:i w:val="0"/>
                <w:iCs w:val="0"/>
                <w:color w:val="000000"/>
                <w:sz w:val="21"/>
                <w:szCs w:val="21"/>
                <w:highlight w:val="none"/>
                <w:u w:val="none"/>
              </w:rPr>
            </w:pPr>
          </w:p>
        </w:tc>
      </w:tr>
      <w:tr w14:paraId="01869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trPr>
        <w:tc>
          <w:tcPr>
            <w:tcW w:w="336" w:type="pct"/>
            <w:vMerge w:val="continue"/>
            <w:shd w:val="clear" w:color="auto" w:fill="auto"/>
            <w:vAlign w:val="center"/>
          </w:tcPr>
          <w:p w14:paraId="73E2D929">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1DD252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2EBABE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w:t>
            </w:r>
          </w:p>
        </w:tc>
        <w:tc>
          <w:tcPr>
            <w:tcW w:w="437" w:type="pct"/>
            <w:shd w:val="clear" w:color="auto" w:fill="auto"/>
            <w:vAlign w:val="center"/>
          </w:tcPr>
          <w:p w14:paraId="5F993788">
            <w:pPr>
              <w:jc w:val="center"/>
              <w:rPr>
                <w:rFonts w:hint="eastAsia" w:ascii="宋体" w:hAnsi="宋体" w:eastAsia="宋体" w:cs="宋体"/>
                <w:i w:val="0"/>
                <w:iCs w:val="0"/>
                <w:color w:val="000000"/>
                <w:sz w:val="21"/>
                <w:szCs w:val="21"/>
                <w:highlight w:val="none"/>
                <w:u w:val="none"/>
              </w:rPr>
            </w:pPr>
          </w:p>
        </w:tc>
      </w:tr>
      <w:tr w14:paraId="71C3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AB1E01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D4B585B">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4857C5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5FED435E">
            <w:pPr>
              <w:jc w:val="center"/>
              <w:rPr>
                <w:rFonts w:hint="eastAsia" w:ascii="宋体" w:hAnsi="宋体" w:eastAsia="宋体" w:cs="宋体"/>
                <w:i w:val="0"/>
                <w:iCs w:val="0"/>
                <w:color w:val="000000"/>
                <w:sz w:val="21"/>
                <w:szCs w:val="21"/>
                <w:highlight w:val="none"/>
                <w:u w:val="none"/>
              </w:rPr>
            </w:pPr>
          </w:p>
        </w:tc>
      </w:tr>
      <w:tr w14:paraId="23A4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9436FC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26F65A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0B6FDA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71FCCD07">
            <w:pPr>
              <w:jc w:val="center"/>
              <w:rPr>
                <w:rFonts w:hint="eastAsia" w:ascii="宋体" w:hAnsi="宋体" w:eastAsia="宋体" w:cs="宋体"/>
                <w:i w:val="0"/>
                <w:iCs w:val="0"/>
                <w:color w:val="000000"/>
                <w:sz w:val="21"/>
                <w:szCs w:val="21"/>
                <w:highlight w:val="none"/>
                <w:u w:val="none"/>
              </w:rPr>
            </w:pPr>
          </w:p>
        </w:tc>
      </w:tr>
      <w:tr w14:paraId="1A9FD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46122DFE">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6773AE7">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B121FC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406731D8">
            <w:pPr>
              <w:jc w:val="center"/>
              <w:rPr>
                <w:rFonts w:hint="eastAsia" w:ascii="宋体" w:hAnsi="宋体" w:eastAsia="宋体" w:cs="宋体"/>
                <w:i w:val="0"/>
                <w:iCs w:val="0"/>
                <w:color w:val="000000"/>
                <w:sz w:val="21"/>
                <w:szCs w:val="21"/>
                <w:highlight w:val="none"/>
                <w:u w:val="none"/>
              </w:rPr>
            </w:pPr>
          </w:p>
        </w:tc>
      </w:tr>
      <w:tr w14:paraId="10E0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336" w:type="pct"/>
            <w:vMerge w:val="continue"/>
            <w:shd w:val="clear" w:color="auto" w:fill="auto"/>
            <w:vAlign w:val="center"/>
          </w:tcPr>
          <w:p w14:paraId="1719CA49">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5260033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32A0EA3F">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超高清电子结肠镜（放大型）</w:t>
            </w:r>
          </w:p>
        </w:tc>
      </w:tr>
      <w:tr w14:paraId="65840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5B93C57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C6059B0">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4BD232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1、有效像素≥200万，CMOS图像传感器成像。</w:t>
            </w:r>
          </w:p>
        </w:tc>
        <w:tc>
          <w:tcPr>
            <w:tcW w:w="437" w:type="pct"/>
            <w:shd w:val="clear" w:color="auto" w:fill="auto"/>
            <w:vAlign w:val="center"/>
          </w:tcPr>
          <w:p w14:paraId="699CB880">
            <w:pPr>
              <w:jc w:val="center"/>
              <w:rPr>
                <w:rFonts w:hint="eastAsia" w:ascii="宋体" w:hAnsi="宋体" w:eastAsia="宋体" w:cs="宋体"/>
                <w:i w:val="0"/>
                <w:iCs w:val="0"/>
                <w:color w:val="000000"/>
                <w:sz w:val="21"/>
                <w:szCs w:val="21"/>
                <w:highlight w:val="none"/>
                <w:u w:val="none"/>
              </w:rPr>
            </w:pPr>
          </w:p>
        </w:tc>
      </w:tr>
      <w:tr w14:paraId="3238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6FBBB0F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8DFCE2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507496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2、视场角：放大观察≥90°；普通观察≥170°。</w:t>
            </w:r>
          </w:p>
        </w:tc>
        <w:tc>
          <w:tcPr>
            <w:tcW w:w="437" w:type="pct"/>
            <w:shd w:val="clear" w:color="auto" w:fill="auto"/>
            <w:vAlign w:val="center"/>
          </w:tcPr>
          <w:p w14:paraId="40F3872A">
            <w:pPr>
              <w:jc w:val="center"/>
              <w:rPr>
                <w:rFonts w:hint="eastAsia" w:ascii="宋体" w:hAnsi="宋体" w:eastAsia="宋体" w:cs="宋体"/>
                <w:i w:val="0"/>
                <w:iCs w:val="0"/>
                <w:color w:val="000000"/>
                <w:sz w:val="21"/>
                <w:szCs w:val="21"/>
                <w:highlight w:val="none"/>
                <w:u w:val="none"/>
              </w:rPr>
            </w:pPr>
          </w:p>
        </w:tc>
      </w:tr>
      <w:tr w14:paraId="1936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962DF4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7A803A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012CF3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3、头端部外径≤12.8mm，主软管外径≤12.0mm。</w:t>
            </w:r>
          </w:p>
        </w:tc>
        <w:tc>
          <w:tcPr>
            <w:tcW w:w="437" w:type="pct"/>
            <w:shd w:val="clear" w:color="auto" w:fill="auto"/>
            <w:vAlign w:val="center"/>
          </w:tcPr>
          <w:p w14:paraId="1A73F650">
            <w:pPr>
              <w:jc w:val="center"/>
              <w:rPr>
                <w:rFonts w:hint="eastAsia" w:ascii="宋体" w:hAnsi="宋体" w:eastAsia="宋体" w:cs="宋体"/>
                <w:i w:val="0"/>
                <w:iCs w:val="0"/>
                <w:color w:val="000000"/>
                <w:sz w:val="21"/>
                <w:szCs w:val="21"/>
                <w:highlight w:val="none"/>
                <w:u w:val="none"/>
              </w:rPr>
            </w:pPr>
          </w:p>
        </w:tc>
      </w:tr>
      <w:tr w14:paraId="7C23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0FB8392">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3C88255">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F90E69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4、景深：放大观察≥2-3.5mm；普通观察≥3-100mm。</w:t>
            </w:r>
          </w:p>
        </w:tc>
        <w:tc>
          <w:tcPr>
            <w:tcW w:w="437" w:type="pct"/>
            <w:shd w:val="clear" w:color="auto" w:fill="auto"/>
            <w:vAlign w:val="center"/>
          </w:tcPr>
          <w:p w14:paraId="46FFD836">
            <w:pPr>
              <w:jc w:val="center"/>
              <w:rPr>
                <w:rFonts w:hint="eastAsia" w:ascii="宋体" w:hAnsi="宋体" w:eastAsia="宋体" w:cs="宋体"/>
                <w:i w:val="0"/>
                <w:iCs w:val="0"/>
                <w:color w:val="000000"/>
                <w:sz w:val="21"/>
                <w:szCs w:val="21"/>
                <w:highlight w:val="none"/>
                <w:u w:val="none"/>
              </w:rPr>
            </w:pPr>
          </w:p>
        </w:tc>
      </w:tr>
      <w:tr w14:paraId="43DFE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3C2BB4B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723312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0014D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5、弯曲角度上≥180°；下≥180°；左≥160°；右≥160°。</w:t>
            </w:r>
          </w:p>
        </w:tc>
        <w:tc>
          <w:tcPr>
            <w:tcW w:w="437" w:type="pct"/>
            <w:shd w:val="clear" w:color="auto" w:fill="auto"/>
            <w:vAlign w:val="center"/>
          </w:tcPr>
          <w:p w14:paraId="07BBEDEA">
            <w:pPr>
              <w:jc w:val="center"/>
              <w:rPr>
                <w:rFonts w:hint="eastAsia" w:ascii="宋体" w:hAnsi="宋体" w:eastAsia="宋体" w:cs="宋体"/>
                <w:i w:val="0"/>
                <w:iCs w:val="0"/>
                <w:color w:val="000000"/>
                <w:sz w:val="21"/>
                <w:szCs w:val="21"/>
                <w:highlight w:val="none"/>
                <w:u w:val="none"/>
              </w:rPr>
            </w:pPr>
          </w:p>
        </w:tc>
      </w:tr>
      <w:tr w14:paraId="2DE3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89A3A9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88E273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310F8F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6、钳道孔径≥3.7mm。</w:t>
            </w:r>
          </w:p>
        </w:tc>
        <w:tc>
          <w:tcPr>
            <w:tcW w:w="437" w:type="pct"/>
            <w:shd w:val="clear" w:color="auto" w:fill="auto"/>
            <w:vAlign w:val="center"/>
          </w:tcPr>
          <w:p w14:paraId="1213D041">
            <w:pPr>
              <w:jc w:val="center"/>
              <w:rPr>
                <w:rFonts w:hint="eastAsia" w:ascii="宋体" w:hAnsi="宋体" w:eastAsia="宋体" w:cs="宋体"/>
                <w:i w:val="0"/>
                <w:iCs w:val="0"/>
                <w:color w:val="000000"/>
                <w:sz w:val="21"/>
                <w:szCs w:val="21"/>
                <w:highlight w:val="none"/>
                <w:u w:val="none"/>
              </w:rPr>
            </w:pPr>
          </w:p>
        </w:tc>
      </w:tr>
      <w:tr w14:paraId="34C7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060694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F22598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32CF40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7、工作长度≥1350 mm。</w:t>
            </w:r>
          </w:p>
        </w:tc>
        <w:tc>
          <w:tcPr>
            <w:tcW w:w="437" w:type="pct"/>
            <w:shd w:val="clear" w:color="auto" w:fill="auto"/>
            <w:vAlign w:val="center"/>
          </w:tcPr>
          <w:p w14:paraId="4086B8C4">
            <w:pPr>
              <w:jc w:val="center"/>
              <w:rPr>
                <w:rFonts w:hint="eastAsia" w:ascii="宋体" w:hAnsi="宋体" w:eastAsia="宋体" w:cs="宋体"/>
                <w:i w:val="0"/>
                <w:iCs w:val="0"/>
                <w:color w:val="000000"/>
                <w:sz w:val="21"/>
                <w:szCs w:val="21"/>
                <w:highlight w:val="none"/>
                <w:u w:val="none"/>
              </w:rPr>
            </w:pPr>
          </w:p>
        </w:tc>
      </w:tr>
      <w:tr w14:paraId="1E2F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5545DB4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98DCFA1">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F28708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8、一体式全防水接头装置，无需防水帽。</w:t>
            </w:r>
          </w:p>
        </w:tc>
        <w:tc>
          <w:tcPr>
            <w:tcW w:w="437" w:type="pct"/>
            <w:shd w:val="clear" w:color="auto" w:fill="auto"/>
            <w:vAlign w:val="center"/>
          </w:tcPr>
          <w:p w14:paraId="2D7034C2">
            <w:pPr>
              <w:jc w:val="center"/>
              <w:rPr>
                <w:rFonts w:hint="eastAsia" w:ascii="宋体" w:hAnsi="宋体" w:eastAsia="宋体" w:cs="宋体"/>
                <w:i w:val="0"/>
                <w:iCs w:val="0"/>
                <w:color w:val="000000"/>
                <w:sz w:val="21"/>
                <w:szCs w:val="21"/>
                <w:highlight w:val="none"/>
                <w:u w:val="none"/>
              </w:rPr>
            </w:pPr>
          </w:p>
        </w:tc>
      </w:tr>
      <w:tr w14:paraId="30C7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E2AAC2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01C17F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72C8E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9、支持一键式热插拔，具有前向副送水功能。</w:t>
            </w:r>
          </w:p>
        </w:tc>
        <w:tc>
          <w:tcPr>
            <w:tcW w:w="437" w:type="pct"/>
            <w:shd w:val="clear" w:color="auto" w:fill="auto"/>
            <w:vAlign w:val="center"/>
          </w:tcPr>
          <w:p w14:paraId="2658C9A1">
            <w:pPr>
              <w:jc w:val="center"/>
              <w:rPr>
                <w:rFonts w:hint="eastAsia" w:ascii="宋体" w:hAnsi="宋体" w:eastAsia="宋体" w:cs="宋体"/>
                <w:i w:val="0"/>
                <w:iCs w:val="0"/>
                <w:color w:val="000000"/>
                <w:sz w:val="21"/>
                <w:szCs w:val="21"/>
                <w:highlight w:val="none"/>
                <w:u w:val="none"/>
              </w:rPr>
            </w:pPr>
          </w:p>
        </w:tc>
      </w:tr>
      <w:tr w14:paraId="1620B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17B2A9D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F90A1EF">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4377CE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10、与主机采用无线供电技术连接。</w:t>
            </w:r>
          </w:p>
        </w:tc>
        <w:tc>
          <w:tcPr>
            <w:tcW w:w="437" w:type="pct"/>
            <w:shd w:val="clear" w:color="auto" w:fill="auto"/>
            <w:vAlign w:val="center"/>
          </w:tcPr>
          <w:p w14:paraId="24D91E4D">
            <w:pPr>
              <w:jc w:val="center"/>
              <w:rPr>
                <w:rFonts w:hint="eastAsia" w:ascii="宋体" w:hAnsi="宋体" w:eastAsia="宋体" w:cs="宋体"/>
                <w:i w:val="0"/>
                <w:iCs w:val="0"/>
                <w:color w:val="000000"/>
                <w:sz w:val="21"/>
                <w:szCs w:val="21"/>
                <w:highlight w:val="none"/>
                <w:u w:val="none"/>
              </w:rPr>
            </w:pPr>
          </w:p>
        </w:tc>
      </w:tr>
      <w:tr w14:paraId="3DEA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336" w:type="pct"/>
            <w:vMerge w:val="continue"/>
            <w:shd w:val="clear" w:color="auto" w:fill="auto"/>
            <w:vAlign w:val="center"/>
          </w:tcPr>
          <w:p w14:paraId="052552E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7514D7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226537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11、头端部三光窗照明系统，光照更加均匀。</w:t>
            </w:r>
          </w:p>
        </w:tc>
        <w:tc>
          <w:tcPr>
            <w:tcW w:w="437" w:type="pct"/>
            <w:shd w:val="clear" w:color="auto" w:fill="auto"/>
            <w:vAlign w:val="center"/>
          </w:tcPr>
          <w:p w14:paraId="1F28DAA6">
            <w:pPr>
              <w:jc w:val="center"/>
              <w:rPr>
                <w:rFonts w:hint="eastAsia" w:ascii="宋体" w:hAnsi="宋体" w:eastAsia="宋体" w:cs="宋体"/>
                <w:i w:val="0"/>
                <w:iCs w:val="0"/>
                <w:color w:val="000000"/>
                <w:sz w:val="21"/>
                <w:szCs w:val="21"/>
                <w:highlight w:val="none"/>
                <w:u w:val="none"/>
              </w:rPr>
            </w:pPr>
          </w:p>
        </w:tc>
      </w:tr>
      <w:tr w14:paraId="5119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12E1BE4A">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B64830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1F125C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12、镜身插入部特殊设计在检查时，能够将手柄处操作者的推拉力和旋转力传递到结肠镜的先端部。</w:t>
            </w:r>
          </w:p>
        </w:tc>
        <w:tc>
          <w:tcPr>
            <w:tcW w:w="437" w:type="pct"/>
            <w:shd w:val="clear" w:color="auto" w:fill="auto"/>
            <w:vAlign w:val="center"/>
          </w:tcPr>
          <w:p w14:paraId="03CA6ADB">
            <w:pPr>
              <w:jc w:val="center"/>
              <w:rPr>
                <w:rFonts w:hint="eastAsia" w:ascii="宋体" w:hAnsi="宋体" w:eastAsia="宋体" w:cs="宋体"/>
                <w:i w:val="0"/>
                <w:iCs w:val="0"/>
                <w:color w:val="000000"/>
                <w:sz w:val="21"/>
                <w:szCs w:val="21"/>
                <w:highlight w:val="none"/>
                <w:u w:val="none"/>
              </w:rPr>
            </w:pPr>
          </w:p>
        </w:tc>
      </w:tr>
      <w:tr w14:paraId="1FBE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D66C5D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8CAE19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A823D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13、在内镜操作时顺应结肠部不同部位的转向，在脾曲肝曲等部位自适应扭转镜身向空腔行进。</w:t>
            </w:r>
          </w:p>
        </w:tc>
        <w:tc>
          <w:tcPr>
            <w:tcW w:w="437" w:type="pct"/>
            <w:shd w:val="clear" w:color="auto" w:fill="auto"/>
            <w:vAlign w:val="center"/>
          </w:tcPr>
          <w:p w14:paraId="7352F70E">
            <w:pPr>
              <w:jc w:val="center"/>
              <w:rPr>
                <w:rFonts w:hint="eastAsia" w:ascii="宋体" w:hAnsi="宋体" w:eastAsia="宋体" w:cs="宋体"/>
                <w:i w:val="0"/>
                <w:iCs w:val="0"/>
                <w:color w:val="000000"/>
                <w:sz w:val="21"/>
                <w:szCs w:val="21"/>
                <w:highlight w:val="none"/>
                <w:u w:val="none"/>
              </w:rPr>
            </w:pPr>
          </w:p>
        </w:tc>
      </w:tr>
      <w:tr w14:paraId="5DC9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2D8DA0B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C1073B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4881F7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14、软性插入部硬度可根据操作者需要进行由软到硬的调节，至少支持4种可调档位。</w:t>
            </w:r>
          </w:p>
        </w:tc>
        <w:tc>
          <w:tcPr>
            <w:tcW w:w="437" w:type="pct"/>
            <w:shd w:val="clear" w:color="auto" w:fill="auto"/>
            <w:vAlign w:val="center"/>
          </w:tcPr>
          <w:p w14:paraId="0D135C4C">
            <w:pPr>
              <w:jc w:val="center"/>
              <w:rPr>
                <w:rFonts w:hint="eastAsia" w:ascii="宋体" w:hAnsi="宋体" w:eastAsia="宋体" w:cs="宋体"/>
                <w:i w:val="0"/>
                <w:iCs w:val="0"/>
                <w:color w:val="000000"/>
                <w:sz w:val="21"/>
                <w:szCs w:val="21"/>
                <w:highlight w:val="none"/>
                <w:u w:val="none"/>
              </w:rPr>
            </w:pPr>
          </w:p>
        </w:tc>
      </w:tr>
      <w:tr w14:paraId="706E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312B87C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66135A1A">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7023FE16">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32寸彩色液晶医用监视器</w:t>
            </w:r>
          </w:p>
        </w:tc>
      </w:tr>
      <w:tr w14:paraId="6ED49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78F20DB7">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E3BEAF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38446E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vAlign w:val="center"/>
          </w:tcPr>
          <w:p w14:paraId="626F2CE3">
            <w:pPr>
              <w:jc w:val="center"/>
              <w:rPr>
                <w:rFonts w:hint="eastAsia" w:ascii="宋体" w:hAnsi="宋体" w:eastAsia="宋体" w:cs="宋体"/>
                <w:i w:val="0"/>
                <w:iCs w:val="0"/>
                <w:color w:val="000000"/>
                <w:sz w:val="21"/>
                <w:szCs w:val="21"/>
                <w:highlight w:val="none"/>
                <w:u w:val="none"/>
              </w:rPr>
            </w:pPr>
          </w:p>
        </w:tc>
      </w:tr>
      <w:tr w14:paraId="094C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6371127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FED74B5">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7EB4D58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专用仪器台车</w:t>
            </w:r>
          </w:p>
        </w:tc>
      </w:tr>
      <w:tr w14:paraId="3435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rPr>
        <w:tc>
          <w:tcPr>
            <w:tcW w:w="336" w:type="pct"/>
            <w:vMerge w:val="continue"/>
            <w:shd w:val="clear" w:color="auto" w:fill="auto"/>
            <w:vAlign w:val="center"/>
          </w:tcPr>
          <w:p w14:paraId="536763E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9030DC4">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37E10E3">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vAlign w:val="center"/>
          </w:tcPr>
          <w:p w14:paraId="1D8A132B">
            <w:pPr>
              <w:jc w:val="center"/>
              <w:rPr>
                <w:rFonts w:hint="eastAsia" w:ascii="宋体" w:hAnsi="宋体" w:eastAsia="宋体" w:cs="宋体"/>
                <w:i w:val="0"/>
                <w:iCs w:val="0"/>
                <w:color w:val="000000"/>
                <w:sz w:val="21"/>
                <w:szCs w:val="21"/>
                <w:highlight w:val="none"/>
                <w:u w:val="none"/>
              </w:rPr>
            </w:pPr>
          </w:p>
        </w:tc>
      </w:tr>
      <w:tr w14:paraId="25B7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4B3E6BB7">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576FA556">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1BB77162">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内窥镜送水泵</w:t>
            </w:r>
          </w:p>
        </w:tc>
      </w:tr>
      <w:tr w14:paraId="5E58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2369911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8CC8AD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BAB949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1、适用液体为无菌液体。</w:t>
            </w:r>
          </w:p>
        </w:tc>
        <w:tc>
          <w:tcPr>
            <w:tcW w:w="437" w:type="pct"/>
            <w:shd w:val="clear" w:color="auto" w:fill="auto"/>
            <w:vAlign w:val="center"/>
          </w:tcPr>
          <w:p w14:paraId="7AC2F078">
            <w:pPr>
              <w:jc w:val="center"/>
              <w:rPr>
                <w:rFonts w:hint="eastAsia" w:ascii="宋体" w:hAnsi="宋体" w:eastAsia="宋体" w:cs="宋体"/>
                <w:i w:val="0"/>
                <w:iCs w:val="0"/>
                <w:color w:val="000000"/>
                <w:sz w:val="21"/>
                <w:szCs w:val="21"/>
                <w:highlight w:val="none"/>
                <w:u w:val="none"/>
              </w:rPr>
            </w:pPr>
          </w:p>
        </w:tc>
      </w:tr>
      <w:tr w14:paraId="21FD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0B1D26F3">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6DA3878">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590E9C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2、具备20S定时功能，定时自动停水。</w:t>
            </w:r>
          </w:p>
        </w:tc>
        <w:tc>
          <w:tcPr>
            <w:tcW w:w="437" w:type="pct"/>
            <w:shd w:val="clear" w:color="auto" w:fill="auto"/>
            <w:vAlign w:val="center"/>
          </w:tcPr>
          <w:p w14:paraId="600EB17D">
            <w:pPr>
              <w:jc w:val="center"/>
              <w:rPr>
                <w:rFonts w:hint="eastAsia" w:ascii="宋体" w:hAnsi="宋体" w:eastAsia="宋体" w:cs="宋体"/>
                <w:i w:val="0"/>
                <w:iCs w:val="0"/>
                <w:color w:val="000000"/>
                <w:sz w:val="21"/>
                <w:szCs w:val="21"/>
                <w:highlight w:val="none"/>
                <w:u w:val="none"/>
              </w:rPr>
            </w:pPr>
          </w:p>
        </w:tc>
      </w:tr>
      <w:tr w14:paraId="0E97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54EB94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34C94D0">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8B2E6B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3、使用电源100-240V，频率50-60Hz。</w:t>
            </w:r>
          </w:p>
        </w:tc>
        <w:tc>
          <w:tcPr>
            <w:tcW w:w="437" w:type="pct"/>
            <w:shd w:val="clear" w:color="auto" w:fill="auto"/>
            <w:vAlign w:val="center"/>
          </w:tcPr>
          <w:p w14:paraId="7EBA77FB">
            <w:pPr>
              <w:jc w:val="center"/>
              <w:rPr>
                <w:rFonts w:hint="eastAsia" w:ascii="宋体" w:hAnsi="宋体" w:eastAsia="宋体" w:cs="宋体"/>
                <w:i w:val="0"/>
                <w:iCs w:val="0"/>
                <w:color w:val="000000"/>
                <w:sz w:val="21"/>
                <w:szCs w:val="21"/>
                <w:highlight w:val="none"/>
                <w:u w:val="none"/>
              </w:rPr>
            </w:pPr>
          </w:p>
        </w:tc>
      </w:tr>
      <w:tr w14:paraId="6B5F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DF2005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2E52B73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15D5FA5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4、最大输出流量270±40ml/min(内径3.2mm泵管)。</w:t>
            </w:r>
          </w:p>
        </w:tc>
        <w:tc>
          <w:tcPr>
            <w:tcW w:w="437" w:type="pct"/>
            <w:shd w:val="clear" w:color="auto" w:fill="auto"/>
            <w:vAlign w:val="center"/>
          </w:tcPr>
          <w:p w14:paraId="48F10763">
            <w:pPr>
              <w:jc w:val="center"/>
              <w:rPr>
                <w:rFonts w:hint="eastAsia" w:ascii="宋体" w:hAnsi="宋体" w:eastAsia="宋体" w:cs="宋体"/>
                <w:i w:val="0"/>
                <w:iCs w:val="0"/>
                <w:color w:val="000000"/>
                <w:sz w:val="21"/>
                <w:szCs w:val="21"/>
                <w:highlight w:val="none"/>
                <w:u w:val="none"/>
              </w:rPr>
            </w:pPr>
          </w:p>
        </w:tc>
      </w:tr>
      <w:tr w14:paraId="2551C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BEB30C5">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AECDFF2">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A3C771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5、适用多种泵管类型及连接管，可选水壶等附件。</w:t>
            </w:r>
          </w:p>
        </w:tc>
        <w:tc>
          <w:tcPr>
            <w:tcW w:w="437" w:type="pct"/>
            <w:shd w:val="clear" w:color="auto" w:fill="auto"/>
            <w:vAlign w:val="center"/>
          </w:tcPr>
          <w:p w14:paraId="0170EB15">
            <w:pPr>
              <w:jc w:val="center"/>
              <w:rPr>
                <w:rFonts w:hint="eastAsia" w:ascii="宋体" w:hAnsi="宋体" w:eastAsia="宋体" w:cs="宋体"/>
                <w:i w:val="0"/>
                <w:iCs w:val="0"/>
                <w:color w:val="000000"/>
                <w:sz w:val="21"/>
                <w:szCs w:val="21"/>
                <w:highlight w:val="none"/>
                <w:u w:val="none"/>
              </w:rPr>
            </w:pPr>
          </w:p>
        </w:tc>
      </w:tr>
      <w:tr w14:paraId="5282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34F78F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84" w:type="pct"/>
            <w:vMerge w:val="continue"/>
            <w:shd w:val="clear" w:color="auto" w:fill="auto"/>
            <w:vAlign w:val="center"/>
          </w:tcPr>
          <w:p w14:paraId="25E6ED20">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p>
        </w:tc>
        <w:tc>
          <w:tcPr>
            <w:tcW w:w="4178" w:type="pct"/>
            <w:gridSpan w:val="2"/>
            <w:shd w:val="clear" w:color="auto" w:fill="auto"/>
            <w:vAlign w:val="center"/>
          </w:tcPr>
          <w:p w14:paraId="066C3BD8">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内镜用二氧化碳送气装置</w:t>
            </w:r>
          </w:p>
        </w:tc>
      </w:tr>
      <w:tr w14:paraId="49A6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626D9D0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4229125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38744F6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1、液晶屏显示实时流量面板。</w:t>
            </w:r>
          </w:p>
        </w:tc>
        <w:tc>
          <w:tcPr>
            <w:tcW w:w="437" w:type="pct"/>
            <w:shd w:val="clear" w:color="auto" w:fill="auto"/>
            <w:vAlign w:val="center"/>
          </w:tcPr>
          <w:p w14:paraId="598884AB">
            <w:pPr>
              <w:rPr>
                <w:rFonts w:hint="eastAsia" w:ascii="宋体" w:hAnsi="宋体" w:eastAsia="宋体" w:cs="宋体"/>
                <w:i w:val="0"/>
                <w:iCs w:val="0"/>
                <w:color w:val="000000"/>
                <w:sz w:val="21"/>
                <w:szCs w:val="21"/>
                <w:highlight w:val="none"/>
                <w:u w:val="none"/>
              </w:rPr>
            </w:pPr>
          </w:p>
        </w:tc>
      </w:tr>
      <w:tr w14:paraId="2EB12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22299B2C">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95B56BC">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6AAEAA6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2、具备多档定时控制保护。</w:t>
            </w:r>
          </w:p>
        </w:tc>
        <w:tc>
          <w:tcPr>
            <w:tcW w:w="437" w:type="pct"/>
            <w:shd w:val="clear" w:color="auto" w:fill="auto"/>
            <w:noWrap/>
            <w:vAlign w:val="center"/>
          </w:tcPr>
          <w:p w14:paraId="4029C852">
            <w:pPr>
              <w:rPr>
                <w:rFonts w:hint="eastAsia" w:ascii="宋体" w:hAnsi="宋体" w:eastAsia="宋体" w:cs="宋体"/>
                <w:i w:val="0"/>
                <w:iCs w:val="0"/>
                <w:color w:val="000000"/>
                <w:sz w:val="21"/>
                <w:szCs w:val="21"/>
                <w:highlight w:val="none"/>
                <w:u w:val="none"/>
              </w:rPr>
            </w:pPr>
          </w:p>
        </w:tc>
      </w:tr>
      <w:tr w14:paraId="7289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2616A37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A3D95A6">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52B3354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3、输出气体压强0-45KPa。</w:t>
            </w:r>
          </w:p>
        </w:tc>
        <w:tc>
          <w:tcPr>
            <w:tcW w:w="437" w:type="pct"/>
            <w:shd w:val="clear" w:color="auto" w:fill="auto"/>
            <w:noWrap/>
            <w:vAlign w:val="center"/>
          </w:tcPr>
          <w:p w14:paraId="01A0A8DB">
            <w:pPr>
              <w:rPr>
                <w:rFonts w:hint="eastAsia" w:ascii="宋体" w:hAnsi="宋体" w:eastAsia="宋体" w:cs="宋体"/>
                <w:i w:val="0"/>
                <w:iCs w:val="0"/>
                <w:color w:val="000000"/>
                <w:sz w:val="21"/>
                <w:szCs w:val="21"/>
                <w:highlight w:val="none"/>
                <w:u w:val="none"/>
              </w:rPr>
            </w:pPr>
          </w:p>
        </w:tc>
      </w:tr>
      <w:tr w14:paraId="62C7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011952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EC0B36D">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9E37D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4、具备气体加热功能，提高病人舒适度。</w:t>
            </w:r>
          </w:p>
        </w:tc>
        <w:tc>
          <w:tcPr>
            <w:tcW w:w="437" w:type="pct"/>
            <w:shd w:val="clear" w:color="auto" w:fill="auto"/>
            <w:noWrap/>
            <w:vAlign w:val="center"/>
          </w:tcPr>
          <w:p w14:paraId="5AA15D5E">
            <w:pPr>
              <w:rPr>
                <w:rFonts w:hint="eastAsia" w:ascii="宋体" w:hAnsi="宋体" w:eastAsia="宋体" w:cs="宋体"/>
                <w:i w:val="0"/>
                <w:iCs w:val="0"/>
                <w:color w:val="000000"/>
                <w:sz w:val="21"/>
                <w:szCs w:val="21"/>
                <w:highlight w:val="none"/>
                <w:u w:val="none"/>
              </w:rPr>
            </w:pPr>
          </w:p>
        </w:tc>
      </w:tr>
      <w:tr w14:paraId="161D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DF68CDB">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87083B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41343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5、气体流量调节范围0-8.5L/min。</w:t>
            </w:r>
          </w:p>
        </w:tc>
        <w:tc>
          <w:tcPr>
            <w:tcW w:w="437" w:type="pct"/>
            <w:shd w:val="clear" w:color="auto" w:fill="auto"/>
            <w:noWrap/>
            <w:vAlign w:val="center"/>
          </w:tcPr>
          <w:p w14:paraId="17CF2E41">
            <w:pPr>
              <w:rPr>
                <w:rFonts w:hint="eastAsia" w:ascii="宋体" w:hAnsi="宋体" w:eastAsia="宋体" w:cs="宋体"/>
                <w:i w:val="0"/>
                <w:iCs w:val="0"/>
                <w:color w:val="000000"/>
                <w:sz w:val="21"/>
                <w:szCs w:val="21"/>
                <w:highlight w:val="none"/>
                <w:u w:val="none"/>
              </w:rPr>
            </w:pPr>
          </w:p>
        </w:tc>
      </w:tr>
      <w:tr w14:paraId="0F66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E3785BF">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0320A196">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7B87B06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图文工作站</w:t>
            </w:r>
          </w:p>
        </w:tc>
      </w:tr>
      <w:tr w14:paraId="163A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756AC734">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3ABD4399">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7DEB78E8">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noWrap/>
            <w:vAlign w:val="center"/>
          </w:tcPr>
          <w:p w14:paraId="794CF169">
            <w:pPr>
              <w:rPr>
                <w:rFonts w:hint="eastAsia" w:ascii="宋体" w:hAnsi="宋体" w:eastAsia="宋体" w:cs="宋体"/>
                <w:i w:val="0"/>
                <w:iCs w:val="0"/>
                <w:color w:val="auto"/>
                <w:sz w:val="21"/>
                <w:szCs w:val="21"/>
                <w:highlight w:val="none"/>
                <w:u w:val="none"/>
              </w:rPr>
            </w:pPr>
          </w:p>
        </w:tc>
      </w:tr>
      <w:tr w14:paraId="7D1D4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D32DB6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5A5CD5D8">
            <w:pPr>
              <w:jc w:val="center"/>
              <w:rPr>
                <w:rFonts w:hint="eastAsia" w:ascii="宋体" w:hAnsi="宋体" w:eastAsia="宋体" w:cs="宋体"/>
                <w:b/>
                <w:bCs/>
                <w:i w:val="0"/>
                <w:iCs w:val="0"/>
                <w:color w:val="000000"/>
                <w:sz w:val="21"/>
                <w:szCs w:val="21"/>
                <w:highlight w:val="none"/>
                <w:u w:val="none"/>
              </w:rPr>
            </w:pPr>
          </w:p>
        </w:tc>
        <w:tc>
          <w:tcPr>
            <w:tcW w:w="4178" w:type="pct"/>
            <w:gridSpan w:val="2"/>
            <w:shd w:val="clear" w:color="auto" w:fill="auto"/>
            <w:vAlign w:val="center"/>
          </w:tcPr>
          <w:p w14:paraId="5DDA0A3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消化道辅助质量控制软件</w:t>
            </w:r>
          </w:p>
        </w:tc>
      </w:tr>
      <w:tr w14:paraId="36C9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35028DAD">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79FD50FE">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20DBD0CA">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shd w:val="clear" w:color="auto" w:fill="FFFFFF"/>
                <w:lang w:val="en-US" w:eastAsia="zh-CN"/>
              </w:rPr>
              <w:t>配套标准配置使用</w:t>
            </w:r>
          </w:p>
        </w:tc>
        <w:tc>
          <w:tcPr>
            <w:tcW w:w="437" w:type="pct"/>
            <w:shd w:val="clear" w:color="auto" w:fill="auto"/>
            <w:noWrap/>
            <w:vAlign w:val="center"/>
          </w:tcPr>
          <w:p w14:paraId="3B0F625B">
            <w:pPr>
              <w:jc w:val="center"/>
              <w:rPr>
                <w:rFonts w:hint="eastAsia" w:ascii="宋体" w:hAnsi="宋体" w:eastAsia="宋体" w:cs="宋体"/>
                <w:i w:val="0"/>
                <w:iCs w:val="0"/>
                <w:color w:val="auto"/>
                <w:sz w:val="21"/>
                <w:szCs w:val="21"/>
                <w:highlight w:val="none"/>
                <w:u w:val="none"/>
              </w:rPr>
            </w:pPr>
          </w:p>
        </w:tc>
      </w:tr>
      <w:tr w14:paraId="5277A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trPr>
        <w:tc>
          <w:tcPr>
            <w:tcW w:w="336" w:type="pct"/>
            <w:vMerge w:val="continue"/>
            <w:shd w:val="clear" w:color="auto" w:fill="auto"/>
            <w:vAlign w:val="center"/>
          </w:tcPr>
          <w:p w14:paraId="1181AD36">
            <w:pPr>
              <w:jc w:val="center"/>
              <w:rPr>
                <w:rFonts w:hint="eastAsia" w:ascii="宋体" w:hAnsi="宋体" w:eastAsia="宋体" w:cs="宋体"/>
                <w:b/>
                <w:bCs/>
                <w:i w:val="0"/>
                <w:iCs w:val="0"/>
                <w:color w:val="000000"/>
                <w:sz w:val="21"/>
                <w:szCs w:val="21"/>
                <w:highlight w:val="none"/>
                <w:u w:val="none"/>
              </w:rPr>
            </w:pPr>
          </w:p>
        </w:tc>
        <w:tc>
          <w:tcPr>
            <w:tcW w:w="484" w:type="pct"/>
            <w:vMerge w:val="continue"/>
            <w:shd w:val="clear" w:color="auto" w:fill="auto"/>
            <w:vAlign w:val="center"/>
          </w:tcPr>
          <w:p w14:paraId="133A7763">
            <w:pPr>
              <w:jc w:val="center"/>
              <w:rPr>
                <w:rFonts w:hint="eastAsia" w:ascii="宋体" w:hAnsi="宋体" w:eastAsia="宋体" w:cs="宋体"/>
                <w:b/>
                <w:bCs/>
                <w:i w:val="0"/>
                <w:iCs w:val="0"/>
                <w:color w:val="000000"/>
                <w:sz w:val="21"/>
                <w:szCs w:val="21"/>
                <w:highlight w:val="none"/>
                <w:u w:val="none"/>
              </w:rPr>
            </w:pPr>
          </w:p>
        </w:tc>
        <w:tc>
          <w:tcPr>
            <w:tcW w:w="3741" w:type="pct"/>
            <w:shd w:val="clear" w:color="auto" w:fill="auto"/>
            <w:vAlign w:val="center"/>
          </w:tcPr>
          <w:p w14:paraId="04B73A09">
            <w:pPr>
              <w:keepNext w:val="0"/>
              <w:keepLines w:val="0"/>
              <w:widowControl/>
              <w:suppressLineNumbers w:val="0"/>
              <w:jc w:val="left"/>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采购产品默认包含下列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，供应商中标后须按下列</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清单提供相应</w:t>
            </w:r>
            <w:r>
              <w:rPr>
                <w:rFonts w:hint="eastAsia" w:ascii="宋体" w:hAnsi="宋体" w:eastAsia="宋体" w:cs="宋体"/>
                <w:b/>
                <w:bCs/>
                <w:i w:val="0"/>
                <w:iCs w:val="0"/>
                <w:color w:val="auto"/>
                <w:sz w:val="21"/>
                <w:szCs w:val="21"/>
                <w:highlight w:val="none"/>
                <w:u w:val="none"/>
              </w:rPr>
              <w:t>配置</w:t>
            </w:r>
            <w:r>
              <w:rPr>
                <w:rFonts w:hint="eastAsia" w:ascii="宋体" w:hAnsi="宋体" w:eastAsia="宋体" w:cs="宋体"/>
                <w:b/>
                <w:bCs/>
                <w:color w:val="auto"/>
                <w:sz w:val="21"/>
                <w:szCs w:val="21"/>
                <w:highlight w:val="none"/>
              </w:rPr>
              <w:t>。</w:t>
            </w:r>
          </w:p>
          <w:tbl>
            <w:tblPr>
              <w:tblStyle w:val="21"/>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2"/>
              <w:gridCol w:w="3335"/>
              <w:gridCol w:w="957"/>
              <w:gridCol w:w="1243"/>
            </w:tblGrid>
            <w:tr w14:paraId="29046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88FE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59AE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sz w:val="21"/>
                      <w:szCs w:val="21"/>
                      <w:highlight w:val="none"/>
                      <w:u w:val="none"/>
                    </w:rPr>
                    <w:t>配置名称</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F78C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AEC51">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w:t>
                  </w:r>
                </w:p>
              </w:tc>
            </w:tr>
            <w:tr w14:paraId="1F9A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29C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82E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图像处理器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A10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F7D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52CB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98E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49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5LED冷光源</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25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F4E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72C3D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2AC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113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F4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0C8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1A12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8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EE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B4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0E2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2237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E7E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CB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超高清电子胃镜（放大型）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2B4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6E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01BD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32A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555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超高清电子结肠镜（检查型）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70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95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36758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051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BAF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超高清电子结肠镜（治疗型）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D4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4D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0E36D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86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B1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超高清电子结肠镜（放大型）</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DAC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564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条</w:t>
                  </w:r>
                </w:p>
              </w:tc>
            </w:tr>
            <w:tr w14:paraId="239D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7E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A9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32寸彩色液晶医用监视器</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1D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B2E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763C8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B0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07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专用仪器台车</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6FC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64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1B6B2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DF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80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内窥镜送水泵</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AFD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5AC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0BA53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10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20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内镜用二氧化碳送气装置</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205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C81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台</w:t>
                  </w:r>
                </w:p>
              </w:tc>
            </w:tr>
            <w:tr w14:paraId="728B3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B6C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5CC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图文工作站</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F8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9C7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r w14:paraId="574B6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67F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27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A34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消化道辅助质量控制软件</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6CF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0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234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套</w:t>
                  </w:r>
                </w:p>
              </w:tc>
            </w:tr>
          </w:tbl>
          <w:p w14:paraId="2307680A">
            <w:pPr>
              <w:keepNext w:val="0"/>
              <w:keepLines w:val="0"/>
              <w:widowControl/>
              <w:suppressLineNumbers w:val="0"/>
              <w:jc w:val="left"/>
              <w:textAlignment w:val="center"/>
              <w:rPr>
                <w:rFonts w:hint="eastAsia" w:ascii="宋体" w:hAnsi="宋体" w:eastAsia="宋体" w:cs="宋体"/>
                <w:b/>
                <w:bCs/>
                <w:color w:val="FF0000"/>
                <w:sz w:val="21"/>
                <w:szCs w:val="21"/>
                <w:highlight w:val="none"/>
                <w:lang w:val="en-US" w:eastAsia="zh-CN"/>
              </w:rPr>
            </w:pPr>
          </w:p>
        </w:tc>
        <w:tc>
          <w:tcPr>
            <w:tcW w:w="437" w:type="pct"/>
            <w:shd w:val="clear" w:color="auto" w:fill="auto"/>
            <w:noWrap/>
            <w:vAlign w:val="center"/>
          </w:tcPr>
          <w:p w14:paraId="070467B2">
            <w:pPr>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b/>
                <w:bCs/>
                <w:color w:val="auto"/>
                <w:sz w:val="21"/>
                <w:szCs w:val="21"/>
                <w:highlight w:val="none"/>
              </w:rPr>
              <w:t>★</w:t>
            </w:r>
          </w:p>
        </w:tc>
      </w:tr>
    </w:tbl>
    <w:p w14:paraId="3B77948A">
      <w:pPr>
        <w:spacing w:line="400" w:lineRule="exact"/>
        <w:outlineLvl w:val="9"/>
        <w:rPr>
          <w:rFonts w:hint="eastAsia"/>
          <w:b/>
          <w:szCs w:val="21"/>
          <w:highlight w:val="none"/>
          <w:lang w:eastAsia="zh-CN"/>
        </w:rPr>
      </w:pPr>
      <w:r>
        <w:rPr>
          <w:rFonts w:hint="eastAsia"/>
          <w:b/>
          <w:color w:val="FF0000"/>
          <w:sz w:val="21"/>
          <w:szCs w:val="21"/>
          <w:highlight w:val="none"/>
          <w:lang w:val="en-US" w:eastAsia="zh-CN"/>
        </w:rPr>
        <w:t>注：</w:t>
      </w:r>
      <w:r>
        <w:rPr>
          <w:rFonts w:hint="eastAsia"/>
          <w:b/>
          <w:color w:val="FF0000"/>
          <w:szCs w:val="21"/>
          <w:highlight w:val="none"/>
        </w:rPr>
        <w:t>带</w:t>
      </w:r>
      <w:r>
        <w:rPr>
          <w:rFonts w:hint="eastAsia"/>
          <w:b/>
          <w:color w:val="FF0000"/>
          <w:szCs w:val="21"/>
          <w:highlight w:val="none"/>
          <w:lang w:eastAsia="zh-CN"/>
        </w:rPr>
        <w:t>“</w:t>
      </w:r>
      <w:r>
        <w:rPr>
          <w:rFonts w:hint="eastAsia"/>
          <w:b/>
          <w:color w:val="FF0000"/>
          <w:szCs w:val="21"/>
          <w:highlight w:val="none"/>
        </w:rPr>
        <w:t>★</w:t>
      </w:r>
      <w:r>
        <w:rPr>
          <w:rFonts w:hint="eastAsia"/>
          <w:b/>
          <w:color w:val="FF0000"/>
          <w:szCs w:val="21"/>
          <w:highlight w:val="none"/>
          <w:lang w:eastAsia="zh-CN"/>
        </w:rPr>
        <w:t>”</w:t>
      </w:r>
      <w:r>
        <w:rPr>
          <w:rFonts w:hint="eastAsia"/>
          <w:b/>
          <w:color w:val="FF0000"/>
          <w:szCs w:val="21"/>
          <w:highlight w:val="none"/>
        </w:rPr>
        <w:t>条款</w:t>
      </w:r>
      <w:r>
        <w:rPr>
          <w:rFonts w:hint="eastAsia"/>
          <w:b/>
          <w:color w:val="FF0000"/>
          <w:szCs w:val="21"/>
          <w:highlight w:val="none"/>
          <w:lang w:val="en-US" w:eastAsia="zh-CN"/>
        </w:rPr>
        <w:t>和</w:t>
      </w:r>
      <w:r>
        <w:rPr>
          <w:rFonts w:hint="eastAsia"/>
          <w:b/>
          <w:color w:val="FF0000"/>
          <w:szCs w:val="21"/>
          <w:highlight w:val="none"/>
        </w:rPr>
        <w:t>带“▲”条款项为</w:t>
      </w:r>
      <w:r>
        <w:rPr>
          <w:rFonts w:hint="eastAsia"/>
          <w:b/>
          <w:color w:val="FF0000"/>
          <w:szCs w:val="21"/>
          <w:highlight w:val="none"/>
          <w:lang w:val="en-US" w:eastAsia="zh-CN"/>
        </w:rPr>
        <w:t>不可修改的</w:t>
      </w:r>
      <w:r>
        <w:rPr>
          <w:rFonts w:hint="eastAsia"/>
          <w:b/>
          <w:color w:val="FF0000"/>
          <w:szCs w:val="21"/>
          <w:highlight w:val="none"/>
        </w:rPr>
        <w:t>条款</w:t>
      </w:r>
      <w:r>
        <w:rPr>
          <w:rFonts w:hint="eastAsia"/>
          <w:b/>
          <w:color w:val="FF0000"/>
          <w:szCs w:val="21"/>
          <w:highlight w:val="none"/>
          <w:lang w:eastAsia="zh-CN"/>
        </w:rPr>
        <w:t>。</w:t>
      </w:r>
      <w:r>
        <w:rPr>
          <w:rFonts w:hint="eastAsia"/>
          <w:b/>
          <w:color w:val="FF0000"/>
          <w:szCs w:val="21"/>
          <w:highlight w:val="none"/>
          <w:lang w:val="en-US" w:eastAsia="zh-CN"/>
        </w:rPr>
        <w:t>如认为其</w:t>
      </w:r>
      <w:r>
        <w:rPr>
          <w:rFonts w:hint="eastAsia"/>
          <w:b/>
          <w:color w:val="FF0000"/>
          <w:szCs w:val="21"/>
          <w:highlight w:val="none"/>
          <w:lang w:eastAsia="zh-CN"/>
        </w:rPr>
        <w:t>中有歧视性、排他性或者限制性的内容，将根据本次调查提供的模板要求，本着诚实信用原则，真实填写意见和建议。</w:t>
      </w:r>
    </w:p>
    <w:p w14:paraId="678863F0">
      <w:pPr>
        <w:rPr>
          <w:rFonts w:hint="eastAsia"/>
          <w:b/>
          <w:szCs w:val="21"/>
          <w:highlight w:val="none"/>
          <w:lang w:eastAsia="zh-CN"/>
        </w:rPr>
      </w:pPr>
      <w:r>
        <w:rPr>
          <w:rFonts w:hint="eastAsia"/>
          <w:b/>
          <w:szCs w:val="21"/>
          <w:highlight w:val="none"/>
          <w:lang w:eastAsia="zh-CN"/>
        </w:rPr>
        <w:br w:type="page"/>
      </w:r>
    </w:p>
    <w:p w14:paraId="0CBF96F2">
      <w:pPr>
        <w:pStyle w:val="2"/>
        <w:rPr>
          <w:rFonts w:hint="eastAsia"/>
        </w:rPr>
      </w:pPr>
    </w:p>
    <w:bookmarkEnd w:id="5"/>
    <w:p w14:paraId="2E0F4207">
      <w:pPr>
        <w:pStyle w:val="72"/>
        <w:widowControl/>
        <w:numPr>
          <w:ilvl w:val="0"/>
          <w:numId w:val="0"/>
        </w:numPr>
        <w:spacing w:before="100" w:beforeAutospacing="1" w:after="100" w:afterAutospacing="1" w:line="405" w:lineRule="atLeast"/>
        <w:ind w:left="1280" w:hanging="720" w:firstLineChars="0"/>
        <w:jc w:val="left"/>
        <w:outlineLvl w:val="1"/>
        <w:rPr>
          <w:rFonts w:ascii="宋体" w:hAnsi="宋体" w:eastAsia="宋体" w:cs="宋体"/>
          <w:kern w:val="0"/>
          <w:sz w:val="28"/>
          <w:szCs w:val="28"/>
        </w:rPr>
      </w:pPr>
      <w:r>
        <w:rPr>
          <w:rFonts w:hint="default" w:ascii="宋体" w:hAnsi="宋体" w:eastAsia="宋体" w:cs="微软雅黑"/>
          <w:color w:val="000000"/>
          <w:kern w:val="0"/>
          <w:sz w:val="36"/>
          <w:szCs w:val="36"/>
          <w:lang w:val="en-US" w:eastAsia="zh-CN" w:bidi="ar"/>
        </w:rPr>
        <w:t>四、</w:t>
      </w:r>
      <w:r>
        <w:rPr>
          <w:rFonts w:hint="eastAsia" w:ascii="宋体" w:hAnsi="宋体" w:eastAsia="宋体" w:cs="微软雅黑"/>
          <w:color w:val="000000"/>
          <w:kern w:val="0"/>
          <w:sz w:val="36"/>
          <w:szCs w:val="36"/>
          <w:lang w:val="en-US" w:eastAsia="zh-CN" w:bidi="ar"/>
        </w:rPr>
        <w:t>商务要求</w:t>
      </w:r>
    </w:p>
    <w:tbl>
      <w:tblPr>
        <w:tblStyle w:val="21"/>
        <w:tblW w:w="8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23"/>
        <w:gridCol w:w="6539"/>
      </w:tblGrid>
      <w:tr w14:paraId="7940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9FF51CC">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8062" w:type="dxa"/>
            <w:gridSpan w:val="2"/>
            <w:vAlign w:val="center"/>
          </w:tcPr>
          <w:p w14:paraId="40876105">
            <w:pPr>
              <w:adjustRightInd w:val="0"/>
              <w:snapToGrid w:val="0"/>
              <w:spacing w:line="276" w:lineRule="auto"/>
              <w:jc w:val="center"/>
              <w:rPr>
                <w:rFonts w:hint="eastAsia" w:ascii="宋体" w:hAnsi="宋体" w:eastAsia="宋体" w:cs="宋体"/>
                <w:b/>
                <w:bCs/>
                <w:kern w:val="0"/>
                <w:sz w:val="21"/>
                <w:szCs w:val="21"/>
              </w:rPr>
            </w:pPr>
            <w:r>
              <w:rPr>
                <w:rFonts w:hint="eastAsia" w:ascii="宋体" w:hAnsi="宋体" w:eastAsia="宋体" w:cs="宋体"/>
                <w:b/>
                <w:bCs/>
                <w:kern w:val="0"/>
                <w:sz w:val="21"/>
                <w:szCs w:val="21"/>
              </w:rPr>
              <w:t>商务要求具体内容</w:t>
            </w:r>
          </w:p>
        </w:tc>
      </w:tr>
      <w:tr w14:paraId="0826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766" w:type="dxa"/>
            <w:gridSpan w:val="3"/>
            <w:vAlign w:val="center"/>
          </w:tcPr>
          <w:p w14:paraId="6E949702">
            <w:pPr>
              <w:adjustRightInd w:val="0"/>
              <w:snapToGrid w:val="0"/>
              <w:spacing w:line="276" w:lineRule="auto"/>
              <w:jc w:val="left"/>
              <w:rPr>
                <w:rFonts w:hint="eastAsia" w:ascii="宋体" w:hAnsi="宋体" w:eastAsia="宋体" w:cs="宋体"/>
                <w:b/>
                <w:bCs/>
                <w:kern w:val="0"/>
                <w:sz w:val="21"/>
                <w:szCs w:val="21"/>
              </w:rPr>
            </w:pPr>
            <w:r>
              <w:rPr>
                <w:rFonts w:hint="eastAsia" w:ascii="宋体" w:hAnsi="宋体" w:eastAsia="宋体" w:cs="宋体"/>
                <w:b/>
                <w:sz w:val="21"/>
                <w:szCs w:val="21"/>
              </w:rPr>
              <w:t>（一）免费保修期内售后服务要求</w:t>
            </w:r>
          </w:p>
        </w:tc>
      </w:tr>
      <w:tr w14:paraId="6855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04" w:type="dxa"/>
            <w:vAlign w:val="center"/>
          </w:tcPr>
          <w:p w14:paraId="795DC42A">
            <w:pPr>
              <w:spacing w:line="276"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1</w:t>
            </w:r>
          </w:p>
        </w:tc>
        <w:tc>
          <w:tcPr>
            <w:tcW w:w="1523" w:type="dxa"/>
            <w:vAlign w:val="center"/>
          </w:tcPr>
          <w:p w14:paraId="552405EF">
            <w:pPr>
              <w:spacing w:line="276" w:lineRule="auto"/>
              <w:jc w:val="center"/>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★免费保修期</w:t>
            </w:r>
          </w:p>
        </w:tc>
        <w:tc>
          <w:tcPr>
            <w:tcW w:w="6539" w:type="dxa"/>
          </w:tcPr>
          <w:p w14:paraId="2730CFAA">
            <w:pPr>
              <w:spacing w:line="276" w:lineRule="auto"/>
              <w:jc w:val="left"/>
              <w:rPr>
                <w:rFonts w:hint="eastAsia" w:ascii="宋体" w:hAnsi="宋体" w:eastAsia="宋体" w:cs="宋体"/>
                <w:sz w:val="21"/>
                <w:szCs w:val="21"/>
              </w:rPr>
            </w:pPr>
            <w:r>
              <w:rPr>
                <w:rFonts w:hint="eastAsia" w:ascii="宋体" w:hAnsi="宋体" w:eastAsia="宋体" w:cs="宋体"/>
                <w:sz w:val="21"/>
                <w:szCs w:val="21"/>
              </w:rPr>
              <w:t>1.货物免费保</w:t>
            </w:r>
            <w:r>
              <w:rPr>
                <w:rFonts w:hint="eastAsia" w:ascii="宋体" w:hAnsi="宋体" w:eastAsia="宋体" w:cs="宋体"/>
                <w:sz w:val="21"/>
                <w:szCs w:val="21"/>
                <w:highlight w:val="none"/>
              </w:rPr>
              <w:t>修期</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年，时间自</w:t>
            </w:r>
            <w:r>
              <w:rPr>
                <w:rFonts w:hint="eastAsia" w:ascii="宋体" w:hAnsi="宋体" w:eastAsia="宋体" w:cs="宋体"/>
                <w:sz w:val="21"/>
                <w:szCs w:val="21"/>
              </w:rPr>
              <w:t>最终验收合格并交付使用之日起计算。</w:t>
            </w:r>
          </w:p>
          <w:p w14:paraId="6AFB2635">
            <w:pPr>
              <w:spacing w:line="276" w:lineRule="auto"/>
              <w:jc w:val="left"/>
              <w:rPr>
                <w:rFonts w:hint="eastAsia" w:ascii="宋体" w:hAnsi="宋体" w:eastAsia="宋体" w:cs="宋体"/>
                <w:sz w:val="21"/>
                <w:szCs w:val="21"/>
              </w:rPr>
            </w:pPr>
            <w:r>
              <w:rPr>
                <w:rFonts w:hint="eastAsia" w:ascii="宋体" w:hAnsi="宋体" w:eastAsia="宋体" w:cs="宋体"/>
                <w:sz w:val="21"/>
                <w:szCs w:val="21"/>
              </w:rPr>
              <w:t>2.保修期内，中标人需全部免费提供原装零配件及维修，特殊情况下可提供备用机；</w:t>
            </w:r>
          </w:p>
          <w:p w14:paraId="78B69C70">
            <w:pPr>
              <w:spacing w:line="276" w:lineRule="auto"/>
              <w:jc w:val="left"/>
              <w:rPr>
                <w:rFonts w:hint="eastAsia" w:ascii="宋体" w:hAnsi="宋体" w:eastAsia="宋体" w:cs="宋体"/>
                <w:sz w:val="21"/>
                <w:szCs w:val="21"/>
              </w:rPr>
            </w:pPr>
            <w:r>
              <w:rPr>
                <w:rFonts w:hint="eastAsia" w:ascii="宋体" w:hAnsi="宋体" w:eastAsia="宋体" w:cs="宋体"/>
                <w:sz w:val="21"/>
                <w:szCs w:val="21"/>
              </w:rPr>
              <w:t>3.保修期内，每年免费对设备进行维护，一年四次（每季度一次）；</w:t>
            </w:r>
          </w:p>
          <w:p w14:paraId="4E4564EF">
            <w:pPr>
              <w:spacing w:line="276" w:lineRule="auto"/>
              <w:jc w:val="left"/>
              <w:rPr>
                <w:rFonts w:hint="eastAsia" w:ascii="宋体" w:hAnsi="宋体" w:eastAsia="宋体" w:cs="宋体"/>
                <w:sz w:val="21"/>
                <w:szCs w:val="21"/>
              </w:rPr>
            </w:pPr>
            <w:r>
              <w:rPr>
                <w:rFonts w:hint="eastAsia" w:ascii="宋体" w:hAnsi="宋体" w:eastAsia="宋体" w:cs="宋体"/>
                <w:sz w:val="21"/>
                <w:szCs w:val="21"/>
              </w:rPr>
              <w:t>4.保修期内，接到采购人的报修通知，应在4小时内响应，24小时内维修到位（不可抗力情况除外）。不需要更换配件的情况下24小时内修复；需要更换配件的情况下，单次故障停机修复时间不得超过2天，每超1天，顺延保修期1天。在国内没有配件需从国外发货的情况下，单次故障停机修复时间不得超过7天（需提供海关报关单等证明材料），每超1天，顺延保修期1天。保修期结束前1个月内，中标人联合厂家工程师或授权维修企业工程师对所供应设备进行一次全面巡检保养，并提供质保期内所有巡检维护保养报告；</w:t>
            </w:r>
          </w:p>
          <w:p w14:paraId="154B3D7D">
            <w:pPr>
              <w:spacing w:line="276" w:lineRule="auto"/>
              <w:jc w:val="left"/>
              <w:rPr>
                <w:rFonts w:hint="eastAsia" w:ascii="宋体" w:hAnsi="宋体" w:eastAsia="宋体" w:cs="宋体"/>
                <w:sz w:val="21"/>
                <w:szCs w:val="21"/>
              </w:rPr>
            </w:pPr>
            <w:r>
              <w:rPr>
                <w:rFonts w:hint="eastAsia" w:ascii="宋体" w:hAnsi="宋体" w:eastAsia="宋体" w:cs="宋体"/>
                <w:sz w:val="21"/>
                <w:szCs w:val="21"/>
              </w:rPr>
              <w:t>5.保修期内，中标人应确保设备年开机率在 98%（含）以上，若达不到此开机率，将作以下处理：年开机率在 90%（含）-98%（不含） 之间，需延长壹年维保期；年开机率在85%（含）-90%（不含）之间，需延长贰年维保期；年开机率低于85% ，中标人必须无条件更换新设备，并重新计算新设备的维保期，并赔偿采购人的直接经济损失和间接经济损失。【注：年开机率=（年工作日天数-停机天数）/年工作日天数】</w:t>
            </w:r>
          </w:p>
          <w:p w14:paraId="53D389C9">
            <w:pPr>
              <w:spacing w:line="276" w:lineRule="auto"/>
              <w:jc w:val="left"/>
              <w:rPr>
                <w:rFonts w:hint="eastAsia" w:ascii="宋体" w:hAnsi="宋体" w:eastAsia="宋体" w:cs="宋体"/>
                <w:sz w:val="21"/>
                <w:szCs w:val="21"/>
              </w:rPr>
            </w:pPr>
            <w:r>
              <w:rPr>
                <w:rFonts w:hint="eastAsia" w:ascii="宋体" w:hAnsi="宋体" w:eastAsia="宋体" w:cs="宋体"/>
                <w:sz w:val="21"/>
                <w:szCs w:val="21"/>
              </w:rPr>
              <w:t>6.中标后签订合同前提供工程师电话和技术维修力量情况和维修的详细地址及联系方式；</w:t>
            </w:r>
          </w:p>
          <w:p w14:paraId="3B2300CF">
            <w:pPr>
              <w:spacing w:line="276" w:lineRule="auto"/>
              <w:jc w:val="left"/>
              <w:rPr>
                <w:rFonts w:hint="eastAsia" w:ascii="宋体" w:hAnsi="宋体" w:eastAsia="宋体" w:cs="宋体"/>
                <w:sz w:val="21"/>
                <w:szCs w:val="21"/>
              </w:rPr>
            </w:pPr>
            <w:r>
              <w:rPr>
                <w:rFonts w:hint="eastAsia" w:ascii="宋体" w:hAnsi="宋体" w:eastAsia="宋体" w:cs="宋体"/>
                <w:sz w:val="21"/>
                <w:szCs w:val="21"/>
              </w:rPr>
              <w:t>7.场地迁移，需要移机时，中标人</w:t>
            </w:r>
            <w:r>
              <w:rPr>
                <w:rFonts w:hint="eastAsia" w:ascii="宋体" w:hAnsi="宋体" w:eastAsia="宋体" w:cs="宋体"/>
                <w:sz w:val="21"/>
                <w:szCs w:val="21"/>
                <w:lang w:val="en-US" w:eastAsia="zh-CN"/>
              </w:rPr>
              <w:t>需</w:t>
            </w:r>
            <w:r>
              <w:rPr>
                <w:rFonts w:hint="eastAsia" w:ascii="宋体" w:hAnsi="宋体" w:eastAsia="宋体" w:cs="宋体"/>
                <w:sz w:val="21"/>
                <w:szCs w:val="21"/>
              </w:rPr>
              <w:t>提供免费迁移服务并提供技术支持，确保机器的正常使用。</w:t>
            </w:r>
          </w:p>
        </w:tc>
      </w:tr>
      <w:tr w14:paraId="0474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A96FA1C">
            <w:pPr>
              <w:spacing w:line="276"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c>
          <w:tcPr>
            <w:tcW w:w="1523" w:type="dxa"/>
            <w:vAlign w:val="center"/>
          </w:tcPr>
          <w:p w14:paraId="12C3BB98">
            <w:pPr>
              <w:spacing w:line="276" w:lineRule="auto"/>
              <w:jc w:val="center"/>
              <w:rPr>
                <w:rFonts w:hint="eastAsia" w:ascii="宋体" w:hAnsi="宋体" w:eastAsia="宋体" w:cs="宋体"/>
                <w:kern w:val="0"/>
                <w:sz w:val="21"/>
                <w:szCs w:val="21"/>
              </w:rPr>
            </w:pPr>
            <w:r>
              <w:rPr>
                <w:rFonts w:hint="eastAsia" w:ascii="宋体" w:hAnsi="宋体" w:eastAsia="宋体" w:cs="宋体"/>
                <w:b/>
                <w:sz w:val="21"/>
                <w:szCs w:val="21"/>
              </w:rPr>
              <w:t>★</w:t>
            </w:r>
            <w:r>
              <w:rPr>
                <w:rFonts w:hint="eastAsia" w:ascii="宋体" w:hAnsi="宋体" w:eastAsia="宋体" w:cs="宋体"/>
                <w:bCs/>
                <w:sz w:val="21"/>
                <w:szCs w:val="21"/>
              </w:rPr>
              <w:t>安装调试</w:t>
            </w:r>
          </w:p>
        </w:tc>
        <w:tc>
          <w:tcPr>
            <w:tcW w:w="6539" w:type="dxa"/>
            <w:vAlign w:val="center"/>
          </w:tcPr>
          <w:p w14:paraId="534D558F">
            <w:pPr>
              <w:spacing w:line="276" w:lineRule="auto"/>
              <w:rPr>
                <w:rFonts w:hint="eastAsia" w:ascii="宋体" w:hAnsi="宋体" w:eastAsia="宋体" w:cs="宋体"/>
                <w:kern w:val="0"/>
                <w:sz w:val="21"/>
                <w:szCs w:val="21"/>
              </w:rPr>
            </w:pPr>
            <w:r>
              <w:rPr>
                <w:rFonts w:hint="eastAsia" w:ascii="宋体" w:hAnsi="宋体" w:eastAsia="宋体" w:cs="宋体"/>
                <w:kern w:val="0"/>
                <w:sz w:val="21"/>
                <w:szCs w:val="21"/>
              </w:rPr>
              <w:t>免费负责安装、调试、免费提供技术咨询、软件升级。</w:t>
            </w:r>
          </w:p>
        </w:tc>
      </w:tr>
      <w:tr w14:paraId="119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5B46E098">
            <w:pPr>
              <w:spacing w:line="276" w:lineRule="auto"/>
              <w:rPr>
                <w:rFonts w:hint="eastAsia" w:ascii="宋体" w:hAnsi="宋体" w:eastAsia="宋体" w:cs="宋体"/>
                <w:sz w:val="21"/>
                <w:szCs w:val="21"/>
              </w:rPr>
            </w:pPr>
            <w:r>
              <w:rPr>
                <w:rFonts w:hint="eastAsia" w:ascii="宋体" w:hAnsi="宋体" w:eastAsia="宋体" w:cs="宋体"/>
                <w:b/>
                <w:bCs/>
                <w:sz w:val="21"/>
                <w:szCs w:val="21"/>
              </w:rPr>
              <w:t>（二）免费保修期外售后服务要求</w:t>
            </w:r>
          </w:p>
        </w:tc>
      </w:tr>
      <w:tr w14:paraId="2FED2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704" w:type="dxa"/>
            <w:vAlign w:val="center"/>
          </w:tcPr>
          <w:p w14:paraId="7815A8FF">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1</w:t>
            </w:r>
          </w:p>
        </w:tc>
        <w:tc>
          <w:tcPr>
            <w:tcW w:w="1523" w:type="dxa"/>
            <w:vAlign w:val="center"/>
          </w:tcPr>
          <w:p w14:paraId="3399BB57">
            <w:pPr>
              <w:spacing w:line="276" w:lineRule="auto"/>
              <w:jc w:val="center"/>
              <w:rPr>
                <w:rFonts w:hint="eastAsia" w:ascii="宋体" w:hAnsi="宋体" w:eastAsia="宋体" w:cs="宋体"/>
                <w:b w:val="0"/>
                <w:bCs/>
                <w:sz w:val="21"/>
                <w:szCs w:val="21"/>
              </w:rPr>
            </w:pPr>
            <w:r>
              <w:rPr>
                <w:rFonts w:hint="eastAsia" w:ascii="宋体" w:hAnsi="宋体" w:eastAsia="宋体" w:cs="宋体"/>
                <w:b w:val="0"/>
                <w:bCs/>
                <w:sz w:val="21"/>
                <w:szCs w:val="21"/>
              </w:rPr>
              <w:t>★</w:t>
            </w:r>
            <w:r>
              <w:rPr>
                <w:rStyle w:val="24"/>
                <w:rFonts w:hint="eastAsia" w:ascii="宋体" w:hAnsi="宋体" w:eastAsia="宋体" w:cs="宋体"/>
                <w:b w:val="0"/>
                <w:bCs/>
                <w:color w:val="000000"/>
                <w:sz w:val="21"/>
                <w:szCs w:val="21"/>
              </w:rPr>
              <w:t>维修零配件、消耗品和延续保修合同的报价</w:t>
            </w:r>
          </w:p>
        </w:tc>
        <w:tc>
          <w:tcPr>
            <w:tcW w:w="6539" w:type="dxa"/>
            <w:vAlign w:val="center"/>
          </w:tcPr>
          <w:p w14:paraId="3B18A11F">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1.由设备制造商提供售后服务，4小时内响应，24小时维修到位，并在48小时内消除故障（不可抗力情况除外）。消耗品和零配件供应及时，特殊情况下可提供备用机。在境内有相对应的零配件保税库，于中标后出具证明文件。</w:t>
            </w:r>
          </w:p>
          <w:p w14:paraId="7D348E02">
            <w:pPr>
              <w:spacing w:line="276" w:lineRule="auto"/>
              <w:jc w:val="left"/>
              <w:rPr>
                <w:rFonts w:hint="eastAsia" w:ascii="宋体" w:hAnsi="宋体" w:eastAsia="宋体" w:cs="宋体"/>
                <w:kern w:val="0"/>
                <w:sz w:val="21"/>
                <w:szCs w:val="21"/>
              </w:rPr>
            </w:pPr>
            <w:r>
              <w:rPr>
                <w:rFonts w:hint="eastAsia" w:ascii="宋体" w:hAnsi="宋体" w:eastAsia="宋体" w:cs="宋体"/>
                <w:kern w:val="0"/>
                <w:sz w:val="21"/>
                <w:szCs w:val="21"/>
              </w:rPr>
              <w:t>2.保修期外，中标人应提供免费维修服务及保证原装配件的及时供应，采购人仅负责零配件购置费；</w:t>
            </w:r>
          </w:p>
          <w:p w14:paraId="3D4D19D0">
            <w:pPr>
              <w:spacing w:line="276" w:lineRule="auto"/>
              <w:jc w:val="left"/>
              <w:rPr>
                <w:rFonts w:hint="eastAsia" w:ascii="宋体" w:hAnsi="宋体" w:eastAsia="宋体" w:cs="宋体"/>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免费提供技术咨询、</w:t>
            </w:r>
            <w:r>
              <w:rPr>
                <w:rFonts w:hint="eastAsia" w:ascii="宋体" w:hAnsi="宋体" w:eastAsia="宋体" w:cs="宋体"/>
                <w:kern w:val="0"/>
                <w:sz w:val="21"/>
                <w:szCs w:val="21"/>
              </w:rPr>
              <w:t>软件终身免费升级，不能设置使用期限。</w:t>
            </w:r>
            <w:r>
              <w:rPr>
                <w:rFonts w:hint="eastAsia" w:ascii="宋体" w:hAnsi="宋体" w:eastAsia="宋体" w:cs="宋体"/>
                <w:sz w:val="21"/>
                <w:szCs w:val="21"/>
              </w:rPr>
              <w:t>软件升级后需对人员培训，以保证买方工作人员掌握设备各种使用操作。</w:t>
            </w:r>
          </w:p>
        </w:tc>
      </w:tr>
      <w:tr w14:paraId="699B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6" w:type="dxa"/>
            <w:gridSpan w:val="3"/>
            <w:vAlign w:val="center"/>
          </w:tcPr>
          <w:p w14:paraId="64879CBD">
            <w:pPr>
              <w:spacing w:line="276" w:lineRule="auto"/>
              <w:rPr>
                <w:rFonts w:hint="eastAsia" w:ascii="宋体" w:hAnsi="宋体" w:eastAsia="宋体" w:cs="宋体"/>
                <w:bCs/>
                <w:sz w:val="21"/>
                <w:szCs w:val="21"/>
              </w:rPr>
            </w:pPr>
            <w:r>
              <w:rPr>
                <w:rFonts w:hint="eastAsia" w:ascii="宋体" w:hAnsi="宋体" w:eastAsia="宋体" w:cs="宋体"/>
                <w:b/>
                <w:sz w:val="21"/>
                <w:szCs w:val="21"/>
              </w:rPr>
              <w:t>（三）其他商务要求</w:t>
            </w:r>
          </w:p>
        </w:tc>
      </w:tr>
      <w:tr w14:paraId="6376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8" w:hRule="atLeast"/>
          <w:jc w:val="center"/>
        </w:trPr>
        <w:tc>
          <w:tcPr>
            <w:tcW w:w="704" w:type="dxa"/>
            <w:vAlign w:val="center"/>
          </w:tcPr>
          <w:p w14:paraId="37DC6538">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523" w:type="dxa"/>
            <w:vAlign w:val="center"/>
          </w:tcPr>
          <w:p w14:paraId="683B1258">
            <w:pPr>
              <w:spacing w:line="276" w:lineRule="auto"/>
              <w:jc w:val="center"/>
              <w:rPr>
                <w:rFonts w:hint="eastAsia" w:ascii="宋体" w:hAnsi="宋体" w:eastAsia="宋体" w:cs="宋体"/>
                <w:bCs/>
                <w:sz w:val="21"/>
                <w:szCs w:val="21"/>
                <w:highlight w:val="none"/>
                <w:lang w:eastAsia="zh-CN"/>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交货要求</w:t>
            </w:r>
          </w:p>
        </w:tc>
        <w:tc>
          <w:tcPr>
            <w:tcW w:w="6539" w:type="dxa"/>
            <w:vAlign w:val="center"/>
          </w:tcPr>
          <w:p w14:paraId="6FA50E2D">
            <w:pPr>
              <w:spacing w:line="276"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1.</w:t>
            </w:r>
            <w:r>
              <w:rPr>
                <w:rFonts w:hint="eastAsia" w:ascii="宋体" w:hAnsi="宋体" w:eastAsia="宋体" w:cs="宋体"/>
                <w:bCs/>
                <w:sz w:val="21"/>
                <w:szCs w:val="21"/>
                <w:highlight w:val="none"/>
              </w:rPr>
              <w:t>中标人在签订合同之日并接</w:t>
            </w:r>
            <w:r>
              <w:rPr>
                <w:rFonts w:hint="eastAsia" w:asciiTheme="minorEastAsia" w:hAnsiTheme="minorEastAsia" w:eastAsiaTheme="minorEastAsia" w:cstheme="minorEastAsia"/>
                <w:bCs/>
                <w:color w:val="auto"/>
                <w:sz w:val="21"/>
                <w:szCs w:val="21"/>
                <w:highlight w:val="none"/>
              </w:rPr>
              <w:t>采购人</w:t>
            </w:r>
            <w:r>
              <w:rPr>
                <w:rFonts w:hint="eastAsia" w:ascii="宋体" w:hAnsi="宋体" w:eastAsia="宋体" w:cs="宋体"/>
                <w:bCs/>
                <w:sz w:val="21"/>
                <w:szCs w:val="21"/>
                <w:highlight w:val="none"/>
              </w:rPr>
              <w:t>通知后</w:t>
            </w:r>
            <w:r>
              <w:rPr>
                <w:rFonts w:hint="eastAsia" w:ascii="宋体" w:hAnsi="宋体" w:eastAsia="宋体" w:cs="宋体"/>
                <w:bCs/>
                <w:sz w:val="21"/>
                <w:szCs w:val="21"/>
                <w:highlight w:val="none"/>
                <w:u w:val="single"/>
                <w:lang w:val="en-US" w:eastAsia="zh-CN"/>
              </w:rPr>
              <w:t xml:space="preserve"> 30 </w:t>
            </w:r>
            <w:r>
              <w:rPr>
                <w:rFonts w:hint="eastAsia" w:ascii="宋体" w:hAnsi="宋体" w:eastAsia="宋体" w:cs="宋体"/>
                <w:bCs/>
                <w:sz w:val="21"/>
                <w:szCs w:val="21"/>
                <w:highlight w:val="none"/>
              </w:rPr>
              <w:t>天内交货，交货地点为</w:t>
            </w:r>
            <w:r>
              <w:rPr>
                <w:rFonts w:hint="eastAsia" w:ascii="宋体" w:hAnsi="宋体" w:eastAsia="宋体" w:cs="宋体"/>
                <w:bCs/>
                <w:sz w:val="21"/>
                <w:szCs w:val="21"/>
                <w:highlight w:val="none"/>
                <w:lang w:eastAsia="zh-CN"/>
              </w:rPr>
              <w:t>：</w:t>
            </w:r>
            <w:r>
              <w:rPr>
                <w:rFonts w:hint="eastAsia" w:ascii="宋体" w:hAnsi="宋体" w:eastAsia="宋体" w:cs="宋体"/>
                <w:bCs/>
                <w:sz w:val="21"/>
                <w:szCs w:val="21"/>
                <w:highlight w:val="none"/>
                <w:lang w:val="en-US" w:eastAsia="zh-CN"/>
              </w:rPr>
              <w:t>采购人指定地点</w:t>
            </w:r>
            <w:r>
              <w:rPr>
                <w:rFonts w:hint="eastAsia" w:ascii="宋体" w:hAnsi="宋体" w:eastAsia="宋体" w:cs="宋体"/>
                <w:bCs/>
                <w:sz w:val="21"/>
                <w:szCs w:val="21"/>
                <w:highlight w:val="none"/>
              </w:rPr>
              <w:t>。</w:t>
            </w:r>
          </w:p>
          <w:p w14:paraId="7846A436">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供应商应提供全套、完整的书面技术资料，</w:t>
            </w:r>
            <w:r>
              <w:rPr>
                <w:rFonts w:hint="eastAsia" w:ascii="宋体" w:hAnsi="宋体" w:eastAsia="宋体" w:cs="宋体"/>
                <w:color w:val="auto"/>
                <w:kern w:val="0"/>
                <w:sz w:val="21"/>
                <w:szCs w:val="21"/>
                <w:highlight w:val="none"/>
              </w:rPr>
              <w:t>包括但不限于设备配置清单、产品说明书、图纸、操作手册、维护手册（含维修密码及接口数据）、质量保证文件、服务指南等，所有外文资料提供中文译本。文件应随货物一并交付至采购人指定地点。</w:t>
            </w:r>
          </w:p>
          <w:p w14:paraId="43BDAD99">
            <w:pPr>
              <w:spacing w:line="276"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bCs/>
                <w:sz w:val="21"/>
                <w:szCs w:val="21"/>
                <w:highlight w:val="none"/>
              </w:rPr>
              <w:t>本次采购的设备和材料必须是全新的，</w:t>
            </w:r>
            <w:r>
              <w:rPr>
                <w:rFonts w:hint="eastAsia" w:ascii="宋体" w:hAnsi="宋体" w:eastAsia="宋体" w:cs="宋体"/>
                <w:color w:val="auto"/>
                <w:kern w:val="0"/>
                <w:sz w:val="21"/>
                <w:szCs w:val="21"/>
                <w:highlight w:val="none"/>
              </w:rPr>
              <w:t>设备到达采购人安装现场时外包装应完好无损，生产日期在采购人收到货物日期前6个月内，最新生产批次且经检验合格的产品。</w:t>
            </w:r>
            <w:r>
              <w:rPr>
                <w:rFonts w:hint="eastAsia" w:ascii="宋体" w:hAnsi="宋体" w:eastAsia="宋体" w:cs="宋体"/>
                <w:bCs/>
                <w:sz w:val="21"/>
                <w:szCs w:val="21"/>
                <w:highlight w:val="none"/>
              </w:rPr>
              <w:t>包装方式按照原厂出厂原标准</w:t>
            </w:r>
            <w:r>
              <w:rPr>
                <w:rFonts w:hint="eastAsia" w:ascii="宋体" w:hAnsi="宋体" w:eastAsia="宋体" w:cs="宋体"/>
                <w:bCs/>
                <w:sz w:val="21"/>
                <w:szCs w:val="21"/>
                <w:highlight w:val="none"/>
                <w:lang w:eastAsia="zh-CN"/>
              </w:rPr>
              <w:t>，</w:t>
            </w:r>
            <w:r>
              <w:rPr>
                <w:rFonts w:hint="eastAsia"/>
                <w:highlight w:val="none"/>
                <w:lang w:val="en-US" w:eastAsia="zh-CN"/>
              </w:rPr>
              <w:t>所投产品</w:t>
            </w:r>
            <w:r>
              <w:rPr>
                <w:rFonts w:hint="eastAsia" w:ascii="宋体" w:hAnsi="宋体" w:eastAsia="宋体" w:cs="宋体"/>
                <w:color w:val="auto"/>
                <w:kern w:val="0"/>
                <w:sz w:val="21"/>
                <w:szCs w:val="21"/>
                <w:highlight w:val="none"/>
              </w:rPr>
              <w:t>主机为整机原厂生产产品。</w:t>
            </w:r>
          </w:p>
          <w:p w14:paraId="5C8B35D0">
            <w:pPr>
              <w:pStyle w:val="2"/>
              <w:spacing w:line="276" w:lineRule="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采购人有权检验或测试货物，以确认货物是否符合合同规格的要求，并且不承担额外的费用。如发现所交货物与投标文件中所承诺的不符或存在质量、技术缺陷等,采购人可以拒绝接收该货物,中标人应在 7 日历日内采取补足、更换或退货等措施,以满足规格的要求，由此发生的一切损失和费用由中标人承担。</w:t>
            </w:r>
          </w:p>
          <w:p w14:paraId="632F99C1">
            <w:pPr>
              <w:pStyle w:val="2"/>
              <w:spacing w:line="276" w:lineRule="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负责货物的现场安装和调试,提供货物安装、调试和维修所需的专用工具和辅助材料。</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eastAsiaTheme="minorEastAsia" w:cstheme="minorEastAsia"/>
                <w:color w:val="auto"/>
                <w:spacing w:val="-3"/>
                <w:sz w:val="21"/>
                <w:szCs w:val="21"/>
                <w:highlight w:val="none"/>
              </w:rPr>
              <w:t>应在货物运至指定地点后</w:t>
            </w:r>
            <w:r>
              <w:rPr>
                <w:rFonts w:hint="eastAsia" w:asciiTheme="minorEastAsia" w:hAnsiTheme="minorEastAsia" w:eastAsiaTheme="minorEastAsia" w:cstheme="minorEastAsia"/>
                <w:bCs/>
                <w:color w:val="auto"/>
                <w:kern w:val="0"/>
                <w:sz w:val="21"/>
                <w:szCs w:val="21"/>
                <w:highlight w:val="none"/>
                <w:u w:val="single"/>
              </w:rPr>
              <w:t xml:space="preserve"> 7 </w:t>
            </w:r>
            <w:r>
              <w:rPr>
                <w:rFonts w:hint="eastAsia" w:asciiTheme="minorEastAsia" w:hAnsiTheme="minorEastAsia" w:eastAsiaTheme="minorEastAsia" w:cstheme="minorEastAsia"/>
                <w:color w:val="auto"/>
                <w:spacing w:val="-3"/>
                <w:sz w:val="21"/>
                <w:szCs w:val="21"/>
                <w:highlight w:val="none"/>
              </w:rPr>
              <w:t>天内开始安装调试,并安装调试完毕。</w:t>
            </w:r>
          </w:p>
        </w:tc>
      </w:tr>
      <w:tr w14:paraId="2820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6DCF20D6">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2</w:t>
            </w:r>
          </w:p>
        </w:tc>
        <w:tc>
          <w:tcPr>
            <w:tcW w:w="1523" w:type="dxa"/>
            <w:vAlign w:val="center"/>
          </w:tcPr>
          <w:p w14:paraId="659290AC">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★付款期限和方式</w:t>
            </w:r>
          </w:p>
        </w:tc>
        <w:tc>
          <w:tcPr>
            <w:tcW w:w="6539" w:type="dxa"/>
            <w:vAlign w:val="center"/>
          </w:tcPr>
          <w:p w14:paraId="10708334">
            <w:pPr>
              <w:numPr>
                <w:ilvl w:val="0"/>
                <w:numId w:val="0"/>
              </w:numPr>
              <w:spacing w:line="276" w:lineRule="auto"/>
              <w:rPr>
                <w:rFonts w:hint="eastAsia" w:asciiTheme="minorEastAsia" w:hAnsiTheme="minorEastAsia" w:cstheme="minorEastAsia"/>
                <w:bCs/>
                <w:color w:val="auto"/>
                <w:szCs w:val="21"/>
                <w:highlight w:val="none"/>
              </w:rPr>
            </w:pPr>
            <w:r>
              <w:rPr>
                <w:rFonts w:hint="eastAsia" w:asciiTheme="minorEastAsia" w:hAnsiTheme="minorEastAsia" w:cstheme="minorEastAsia"/>
                <w:bCs/>
                <w:color w:val="auto"/>
                <w:sz w:val="21"/>
                <w:szCs w:val="21"/>
                <w:highlight w:val="none"/>
                <w:lang w:val="en-US" w:eastAsia="zh-CN"/>
              </w:rPr>
              <w:t>1.</w:t>
            </w:r>
            <w:r>
              <w:rPr>
                <w:rFonts w:hint="eastAsia" w:asciiTheme="minorEastAsia" w:hAnsiTheme="minorEastAsia" w:cstheme="minorEastAsia"/>
                <w:bCs/>
                <w:color w:val="auto"/>
                <w:szCs w:val="21"/>
                <w:highlight w:val="none"/>
              </w:rPr>
              <w:t>货到安装、调试验收合格</w:t>
            </w:r>
            <w:r>
              <w:rPr>
                <w:rFonts w:hint="eastAsia" w:asciiTheme="minorEastAsia" w:hAnsiTheme="minorEastAsia" w:eastAsiaTheme="minorEastAsia" w:cstheme="minorEastAsia"/>
                <w:bCs/>
                <w:color w:val="auto"/>
                <w:sz w:val="21"/>
                <w:szCs w:val="21"/>
                <w:highlight w:val="none"/>
              </w:rPr>
              <w:t>正常使用</w:t>
            </w:r>
            <w:r>
              <w:rPr>
                <w:rFonts w:hint="eastAsia" w:asciiTheme="minorEastAsia" w:hAnsiTheme="minorEastAsia" w:cstheme="minorEastAsia"/>
                <w:bCs/>
                <w:color w:val="auto"/>
                <w:szCs w:val="21"/>
                <w:highlight w:val="none"/>
              </w:rPr>
              <w:t>且财政资金下达后，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提供采购</w:t>
            </w:r>
            <w:r>
              <w:rPr>
                <w:rFonts w:hint="eastAsia" w:asciiTheme="minorEastAsia" w:hAnsiTheme="minorEastAsia" w:cstheme="minorEastAsia"/>
                <w:bCs/>
                <w:color w:val="auto"/>
                <w:szCs w:val="21"/>
                <w:highlight w:val="none"/>
                <w:lang w:eastAsia="zh-CN"/>
              </w:rPr>
              <w:t>人</w:t>
            </w:r>
            <w:r>
              <w:rPr>
                <w:rFonts w:hint="eastAsia" w:asciiTheme="minorEastAsia" w:hAnsiTheme="minorEastAsia" w:cstheme="minorEastAsia"/>
                <w:bCs/>
                <w:color w:val="auto"/>
                <w:szCs w:val="21"/>
                <w:highlight w:val="none"/>
              </w:rPr>
              <w:t>与设备原厂、中国总代或区域总代签订的保修合同或原厂、中国总代或区域总代的保修承诺函后，</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应按深圳市福田区财政局的财税要求出具本合同全额价款的正规发票，原则上由采购</w:t>
            </w:r>
            <w:r>
              <w:rPr>
                <w:rFonts w:hint="eastAsia" w:asciiTheme="minorEastAsia" w:hAnsiTheme="minorEastAsia" w:cstheme="minorEastAsia"/>
                <w:bCs/>
                <w:color w:val="auto"/>
                <w:szCs w:val="21"/>
                <w:highlight w:val="none"/>
                <w:lang w:eastAsia="zh-CN"/>
              </w:rPr>
              <w:t>人</w:t>
            </w:r>
            <w:r>
              <w:rPr>
                <w:rFonts w:hint="eastAsia" w:asciiTheme="minorEastAsia" w:hAnsiTheme="minorEastAsia" w:cstheme="minorEastAsia"/>
                <w:bCs/>
                <w:color w:val="auto"/>
                <w:szCs w:val="21"/>
                <w:highlight w:val="none"/>
              </w:rPr>
              <w:t>在收到合格足额发票后10个工作日内向</w:t>
            </w:r>
            <w:r>
              <w:rPr>
                <w:rFonts w:hint="eastAsia" w:asciiTheme="minorEastAsia" w:hAnsiTheme="minorEastAsia" w:eastAsiaTheme="minorEastAsia" w:cstheme="minorEastAsia"/>
                <w:color w:val="auto"/>
                <w:spacing w:val="-3"/>
                <w:sz w:val="21"/>
                <w:szCs w:val="21"/>
                <w:highlight w:val="none"/>
                <w:lang w:val="en-US" w:eastAsia="zh-CN"/>
              </w:rPr>
              <w:t>中标人</w:t>
            </w:r>
            <w:r>
              <w:rPr>
                <w:rFonts w:hint="eastAsia" w:asciiTheme="minorEastAsia" w:hAnsiTheme="minorEastAsia" w:cstheme="minorEastAsia"/>
                <w:bCs/>
                <w:color w:val="auto"/>
                <w:szCs w:val="21"/>
                <w:highlight w:val="none"/>
              </w:rPr>
              <w:t>支付合同价款的80%；若财政当次下达资金未达合同价款的80%，则以当次实际下达资金为准，直至付款至合同价款的80%。货款余额在项目结算并下达尾款资金后支付</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cstheme="minorEastAsia"/>
                <w:bCs/>
                <w:color w:val="auto"/>
                <w:szCs w:val="21"/>
                <w:highlight w:val="none"/>
              </w:rPr>
              <w:t>付款方式和时间最终以财政下达为准。若后期使用专项债券支付，以专项债券具体支付要求为准。</w:t>
            </w:r>
          </w:p>
          <w:p w14:paraId="3105753B">
            <w:pPr>
              <w:spacing w:line="276" w:lineRule="auto"/>
              <w:rPr>
                <w:rFonts w:hint="eastAsia" w:ascii="宋体" w:hAnsi="宋体" w:eastAsia="宋体" w:cs="宋体"/>
                <w:sz w:val="21"/>
                <w:szCs w:val="21"/>
                <w:highlight w:val="none"/>
              </w:rPr>
            </w:pP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因采购人使用的是财政资金，采购人的付款时间为向政府财政部门提出办理财政支付申请手续的时间（不含政府财政支付部门审核的时间），在规定时间内采购人提出支付申请手续后即视为采购人已经按期支付。若因为财政审批的原因造成采购人延期付款的，采购人不承担违约责任，中标人应当继续履行约定的义务。</w:t>
            </w:r>
            <w:r>
              <w:rPr>
                <w:rFonts w:hint="eastAsia" w:asciiTheme="minorEastAsia" w:hAnsiTheme="minorEastAsia" w:eastAsiaTheme="minorEastAsia" w:cstheme="minorEastAsia"/>
                <w:bCs/>
                <w:color w:val="auto"/>
                <w:szCs w:val="21"/>
                <w:highlight w:val="none"/>
              </w:rPr>
              <w:t>如果后续年度经人大审议通过的部门预算中，该采购项目预算金额较提前采购计划金额发生变化的，双方可根据相关规定签订补充协议或终止协议执行。</w:t>
            </w:r>
          </w:p>
        </w:tc>
      </w:tr>
      <w:tr w14:paraId="0EE0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7B3BDFF">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3</w:t>
            </w:r>
          </w:p>
        </w:tc>
        <w:tc>
          <w:tcPr>
            <w:tcW w:w="1523" w:type="dxa"/>
            <w:vAlign w:val="center"/>
          </w:tcPr>
          <w:p w14:paraId="2FC94D52">
            <w:pPr>
              <w:spacing w:line="276"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★验收条件</w:t>
            </w:r>
          </w:p>
        </w:tc>
        <w:tc>
          <w:tcPr>
            <w:tcW w:w="6539" w:type="dxa"/>
            <w:vAlign w:val="center"/>
          </w:tcPr>
          <w:p w14:paraId="7E048593">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1.原装产品，货到安装，现场验收。中标人应派有经验的技术人员到现场进行安装、调试，直到设备正常使用。</w:t>
            </w:r>
          </w:p>
          <w:p w14:paraId="3F1B2F1F">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2.设备安装调试正常使用后，且提供所有第三方配件及设备相关软件、序列及后处理软件</w:t>
            </w:r>
            <w:r>
              <w:rPr>
                <w:rFonts w:hint="eastAsia" w:ascii="宋体" w:hAnsi="宋体" w:eastAsia="宋体" w:cs="宋体"/>
                <w:bCs/>
                <w:sz w:val="21"/>
                <w:szCs w:val="21"/>
                <w:highlight w:val="none"/>
                <w:lang w:eastAsia="zh-CN"/>
              </w:rPr>
              <w:t>，</w:t>
            </w:r>
            <w:r>
              <w:rPr>
                <w:rFonts w:hint="eastAsia" w:asciiTheme="minorEastAsia" w:hAnsiTheme="minorEastAsia" w:cstheme="minorEastAsia"/>
                <w:bCs/>
                <w:color w:val="auto"/>
                <w:sz w:val="21"/>
                <w:szCs w:val="21"/>
                <w:highlight w:val="none"/>
                <w:lang w:val="en-US" w:eastAsia="zh-CN"/>
              </w:rPr>
              <w:t>中标人</w:t>
            </w:r>
            <w:r>
              <w:rPr>
                <w:rFonts w:hint="eastAsia" w:ascii="宋体" w:hAnsi="宋体" w:eastAsia="宋体" w:cs="宋体"/>
                <w:color w:val="auto"/>
                <w:spacing w:val="-3"/>
                <w:sz w:val="21"/>
                <w:szCs w:val="21"/>
                <w:highlight w:val="none"/>
              </w:rPr>
              <w:t>应及时书面提请验收。</w:t>
            </w:r>
            <w:r>
              <w:rPr>
                <w:rFonts w:hint="eastAsia" w:ascii="宋体" w:hAnsi="宋体" w:eastAsia="宋体" w:cs="宋体"/>
                <w:color w:val="auto"/>
                <w:spacing w:val="-3"/>
                <w:szCs w:val="21"/>
                <w:highlight w:val="none"/>
              </w:rPr>
              <w:t>验收标准按照国家规定标准执行</w:t>
            </w:r>
            <w:r>
              <w:rPr>
                <w:rFonts w:hint="eastAsia" w:ascii="宋体" w:hAnsi="宋体" w:eastAsia="宋体" w:cs="宋体"/>
                <w:color w:val="auto"/>
                <w:spacing w:val="-3"/>
                <w:szCs w:val="21"/>
                <w:highlight w:val="none"/>
                <w:lang w:eastAsia="zh-CN"/>
              </w:rPr>
              <w:t>，并由</w:t>
            </w:r>
            <w:r>
              <w:rPr>
                <w:rFonts w:hint="eastAsia" w:ascii="宋体" w:hAnsi="宋体" w:eastAsia="宋体" w:cs="宋体"/>
                <w:bCs/>
                <w:sz w:val="21"/>
                <w:szCs w:val="21"/>
                <w:highlight w:val="none"/>
              </w:rPr>
              <w:t>第三方质量检测部门</w:t>
            </w:r>
            <w:r>
              <w:rPr>
                <w:rFonts w:hint="eastAsia" w:ascii="宋体" w:hAnsi="宋体" w:eastAsia="宋体" w:cs="宋体"/>
                <w:bCs/>
                <w:sz w:val="21"/>
                <w:szCs w:val="21"/>
                <w:highlight w:val="none"/>
                <w:lang w:eastAsia="zh-CN"/>
              </w:rPr>
              <w:t>出具国家认可的性能检测报告及计量检测报告（检测费用由中标人负责支付）。</w:t>
            </w:r>
            <w:r>
              <w:rPr>
                <w:rFonts w:hint="eastAsia" w:ascii="宋体" w:hAnsi="宋体" w:eastAsia="宋体" w:cs="宋体"/>
                <w:bCs/>
                <w:sz w:val="21"/>
                <w:szCs w:val="21"/>
                <w:highlight w:val="none"/>
              </w:rPr>
              <w:t>由使用科室、设备科、中标人等代表在场进行验收。</w:t>
            </w:r>
          </w:p>
          <w:p w14:paraId="0C87883D">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产品质量和安装调试检验标准遵照国家相关规定和最新标准执行。验收中如发现有质量不合格或型号规格、数量等与购销合同不符等情况，中标人应免费更换或补齐，并承担因此发生的违约责任。中标人货物经过双方检验认可后，签署验收报告。</w:t>
            </w:r>
            <w:r>
              <w:rPr>
                <w:rFonts w:hint="eastAsia" w:ascii="宋体" w:hAnsi="宋体" w:eastAsia="宋体" w:cs="宋体"/>
                <w:bCs/>
                <w:szCs w:val="21"/>
                <w:highlight w:val="none"/>
              </w:rPr>
              <w:t>产品质保期自验收合格之日起算，由中标人同时提供产品质保文件。</w:t>
            </w:r>
          </w:p>
          <w:p w14:paraId="7929802C">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4.当满足以下条件时，采购人才向中标人签发货物验收报告：</w:t>
            </w:r>
          </w:p>
          <w:p w14:paraId="1FC310D6">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（1）中标人已按照合同规定提供了全部产品及完整的技术资料。</w:t>
            </w:r>
          </w:p>
          <w:p w14:paraId="50EB1D19">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（2）货物符合</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技术规格书的要求，性能满足要求。</w:t>
            </w:r>
          </w:p>
          <w:p w14:paraId="1A495F80">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（3）货物具备产品合格证。</w:t>
            </w:r>
          </w:p>
          <w:p w14:paraId="49FCBFE6">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（4）提供维修手册、中文操作手册。</w:t>
            </w:r>
          </w:p>
          <w:p w14:paraId="1FC67DD1">
            <w:pPr>
              <w:numPr>
                <w:ilvl w:val="0"/>
                <w:numId w:val="0"/>
              </w:numPr>
              <w:spacing w:line="240" w:lineRule="auto"/>
              <w:rPr>
                <w:rFonts w:hint="eastAsia" w:ascii="宋体" w:hAnsi="宋体" w:eastAsia="宋体" w:cs="宋体"/>
                <w:bCs/>
                <w:sz w:val="21"/>
                <w:szCs w:val="21"/>
                <w:highlight w:val="none"/>
              </w:rPr>
            </w:pPr>
            <w:r>
              <w:rPr>
                <w:rFonts w:hint="eastAsia" w:ascii="宋体" w:hAnsi="宋体" w:eastAsia="宋体" w:cs="宋体"/>
                <w:bCs/>
                <w:sz w:val="21"/>
                <w:szCs w:val="21"/>
                <w:highlight w:val="none"/>
              </w:rPr>
              <w:t>5.若采购人对中标产品质量有争议，将由中标人委托第三方质量检测部门按照</w:t>
            </w:r>
            <w:r>
              <w:rPr>
                <w:rFonts w:hint="eastAsia" w:ascii="宋体" w:hAnsi="宋体" w:eastAsia="宋体" w:cs="宋体"/>
                <w:bCs/>
                <w:sz w:val="21"/>
                <w:szCs w:val="21"/>
                <w:highlight w:val="none"/>
                <w:lang w:eastAsia="zh-CN"/>
              </w:rPr>
              <w:t>谈判文件</w:t>
            </w:r>
            <w:r>
              <w:rPr>
                <w:rFonts w:hint="eastAsia" w:ascii="宋体" w:hAnsi="宋体" w:eastAsia="宋体" w:cs="宋体"/>
                <w:bCs/>
                <w:sz w:val="21"/>
                <w:szCs w:val="21"/>
                <w:highlight w:val="none"/>
              </w:rPr>
              <w:t>和中标人投标文件进行验收确认,并由中标人负责该检测具体事宜。出具检测验收报告合格，采购人将履行采购合同；若检测验收报告不合格，采购人将取消采购合同，由中标人承担所有后果。</w:t>
            </w:r>
          </w:p>
          <w:p w14:paraId="2517D9D6">
            <w:pPr>
              <w:numPr>
                <w:ilvl w:val="0"/>
                <w:numId w:val="0"/>
              </w:numPr>
              <w:spacing w:line="240" w:lineRule="auto"/>
              <w:rPr>
                <w:rFonts w:hint="eastAsia" w:eastAsia="宋体"/>
                <w:highlight w:val="none"/>
                <w:lang w:val="en-US" w:eastAsia="zh-CN"/>
              </w:rPr>
            </w:pPr>
            <w:r>
              <w:rPr>
                <w:rFonts w:hint="eastAsia" w:ascii="宋体" w:hAnsi="宋体" w:eastAsia="宋体" w:cs="宋体"/>
                <w:b/>
                <w:sz w:val="21"/>
                <w:szCs w:val="21"/>
                <w:highlight w:val="none"/>
              </w:rPr>
              <w:t>6.投标人所提供设备数据信息需要接入采购人院内信息化平台，产生的碰口/数据接入等一切费用包含在投标总价中。</w:t>
            </w:r>
          </w:p>
        </w:tc>
      </w:tr>
      <w:tr w14:paraId="6594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04" w:type="dxa"/>
            <w:vAlign w:val="center"/>
          </w:tcPr>
          <w:p w14:paraId="30F6E6DE">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4</w:t>
            </w:r>
          </w:p>
        </w:tc>
        <w:tc>
          <w:tcPr>
            <w:tcW w:w="1523" w:type="dxa"/>
            <w:vAlign w:val="center"/>
          </w:tcPr>
          <w:p w14:paraId="36AAAC7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★违约责任</w:t>
            </w:r>
          </w:p>
        </w:tc>
        <w:tc>
          <w:tcPr>
            <w:tcW w:w="6539" w:type="dxa"/>
            <w:vAlign w:val="center"/>
          </w:tcPr>
          <w:p w14:paraId="7B67D22A">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如中标人未按照投标文件中承诺的时间交货或提供服务，中标人应承担延期交货和延期服务的违约责任，每迟一天罚款合同总额的0.5%；如超过供货期30天，采购人将有权终止合同并通过法律程序对中标人进行索赔。</w:t>
            </w:r>
          </w:p>
        </w:tc>
      </w:tr>
      <w:tr w14:paraId="0259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17B7391">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5</w:t>
            </w:r>
          </w:p>
        </w:tc>
        <w:tc>
          <w:tcPr>
            <w:tcW w:w="1523" w:type="dxa"/>
            <w:vAlign w:val="center"/>
          </w:tcPr>
          <w:p w14:paraId="4B179FDD">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★争议解决方法</w:t>
            </w:r>
          </w:p>
        </w:tc>
        <w:tc>
          <w:tcPr>
            <w:tcW w:w="6539" w:type="dxa"/>
            <w:vAlign w:val="center"/>
          </w:tcPr>
          <w:p w14:paraId="12A33F90">
            <w:pPr>
              <w:spacing w:line="276" w:lineRule="auto"/>
              <w:jc w:val="left"/>
              <w:rPr>
                <w:rFonts w:hint="eastAsia" w:ascii="宋体" w:hAnsi="宋体" w:eastAsia="宋体" w:cs="宋体"/>
                <w:bCs/>
                <w:sz w:val="21"/>
                <w:szCs w:val="21"/>
              </w:rPr>
            </w:pPr>
            <w:r>
              <w:rPr>
                <w:rFonts w:hint="eastAsia" w:ascii="宋体" w:hAnsi="宋体" w:eastAsia="宋体" w:cs="宋体"/>
                <w:bCs/>
                <w:sz w:val="21"/>
                <w:szCs w:val="21"/>
              </w:rPr>
              <w:t>违约所造成的经济损失概由违约方承担赔偿。违约造成</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延误责任分担：采购人违约，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相应顺延；中标人违约，</w:t>
            </w:r>
            <w:r>
              <w:rPr>
                <w:rFonts w:hint="eastAsia" w:ascii="宋体" w:hAnsi="宋体" w:eastAsia="宋体" w:cs="宋体"/>
                <w:bCs/>
                <w:sz w:val="21"/>
                <w:szCs w:val="21"/>
                <w:lang w:val="en-US" w:eastAsia="zh-CN"/>
              </w:rPr>
              <w:t>交货期</w:t>
            </w:r>
            <w:r>
              <w:rPr>
                <w:rFonts w:hint="eastAsia" w:ascii="宋体" w:hAnsi="宋体" w:eastAsia="宋体" w:cs="宋体"/>
                <w:bCs/>
                <w:sz w:val="21"/>
                <w:szCs w:val="21"/>
              </w:rPr>
              <w:t>不得顺延。如果发生与本合同的解释或执行中的有关争议，双方首先应通过友好协商解决，否则任何一方可将该争议提交仲裁。仲裁事项应提交深圳仲裁委员会进行裁决。</w:t>
            </w:r>
          </w:p>
        </w:tc>
      </w:tr>
      <w:tr w14:paraId="6564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358F7164">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6</w:t>
            </w:r>
          </w:p>
        </w:tc>
        <w:tc>
          <w:tcPr>
            <w:tcW w:w="1523" w:type="dxa"/>
            <w:vAlign w:val="center"/>
          </w:tcPr>
          <w:p w14:paraId="4C9B68EE">
            <w:pPr>
              <w:spacing w:line="276" w:lineRule="auto"/>
              <w:jc w:val="center"/>
              <w:rPr>
                <w:rFonts w:hint="eastAsia" w:ascii="宋体" w:hAnsi="宋体" w:eastAsia="宋体" w:cs="宋体"/>
                <w:bCs/>
                <w:sz w:val="21"/>
                <w:szCs w:val="21"/>
              </w:rPr>
            </w:pPr>
            <w:r>
              <w:rPr>
                <w:rFonts w:hint="eastAsia" w:ascii="宋体" w:hAnsi="宋体" w:eastAsia="宋体" w:cs="宋体"/>
                <w:b w:val="0"/>
                <w:bCs/>
                <w:sz w:val="21"/>
                <w:szCs w:val="21"/>
              </w:rPr>
              <w:t>★</w:t>
            </w:r>
            <w:r>
              <w:rPr>
                <w:rStyle w:val="24"/>
                <w:rFonts w:hint="eastAsia" w:ascii="宋体" w:hAnsi="宋体" w:eastAsia="宋体" w:cs="宋体"/>
                <w:b w:val="0"/>
                <w:bCs/>
                <w:color w:val="000000"/>
                <w:sz w:val="21"/>
                <w:szCs w:val="21"/>
              </w:rPr>
              <w:t>运输、安装条件</w:t>
            </w:r>
          </w:p>
        </w:tc>
        <w:tc>
          <w:tcPr>
            <w:tcW w:w="6539" w:type="dxa"/>
            <w:vAlign w:val="center"/>
          </w:tcPr>
          <w:p w14:paraId="2D1D1ED0">
            <w:pPr>
              <w:spacing w:line="276" w:lineRule="auto"/>
              <w:jc w:val="left"/>
              <w:rPr>
                <w:rFonts w:hint="eastAsia" w:ascii="宋体" w:hAnsi="宋体" w:eastAsia="宋体" w:cs="宋体"/>
                <w:b/>
                <w:sz w:val="21"/>
                <w:szCs w:val="21"/>
              </w:rPr>
            </w:pPr>
            <w:r>
              <w:rPr>
                <w:rFonts w:hint="eastAsia" w:ascii="宋体" w:hAnsi="宋体" w:eastAsia="宋体" w:cs="宋体"/>
                <w:bCs/>
                <w:sz w:val="21"/>
                <w:szCs w:val="21"/>
              </w:rPr>
              <w:t>1.中标人须在签订合同之日起2天内向采购人提供设备的运行、安装、使用环境要求。</w:t>
            </w:r>
          </w:p>
          <w:p w14:paraId="3374C671">
            <w:pPr>
              <w:spacing w:line="276" w:lineRule="auto"/>
              <w:jc w:val="left"/>
              <w:rPr>
                <w:rFonts w:hint="eastAsia" w:ascii="宋体" w:hAnsi="宋体" w:eastAsia="宋体" w:cs="宋体"/>
                <w:sz w:val="21"/>
                <w:szCs w:val="21"/>
              </w:rPr>
            </w:pPr>
            <w:r>
              <w:rPr>
                <w:rFonts w:hint="eastAsia" w:ascii="宋体" w:hAnsi="宋体" w:eastAsia="宋体" w:cs="宋体"/>
                <w:bCs/>
                <w:sz w:val="21"/>
                <w:szCs w:val="21"/>
              </w:rPr>
              <w:t>2.中标人应确保运抵采购人处货物的完好性，包装费用由中标人承担。中标人承担由于其包装或其防护措施不妥而引起货物锈蚀、损坏和丢失等任何损失，并承担因此而发生的违约责任。</w:t>
            </w:r>
          </w:p>
        </w:tc>
      </w:tr>
      <w:tr w14:paraId="61D9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4F99BE8A">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7</w:t>
            </w:r>
          </w:p>
        </w:tc>
        <w:tc>
          <w:tcPr>
            <w:tcW w:w="1523" w:type="dxa"/>
            <w:vAlign w:val="center"/>
          </w:tcPr>
          <w:p w14:paraId="3D9EE846">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★培训</w:t>
            </w:r>
          </w:p>
        </w:tc>
        <w:tc>
          <w:tcPr>
            <w:tcW w:w="6539" w:type="dxa"/>
            <w:vAlign w:val="center"/>
          </w:tcPr>
          <w:p w14:paraId="29C20C4C">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1.中标人应派专业技术人员免费对采购单位指定人员进行定期培训及指导，直至其完全掌握设备的基本故障处理技术。</w:t>
            </w:r>
          </w:p>
          <w:p w14:paraId="05FFCF81">
            <w:pPr>
              <w:spacing w:line="276" w:lineRule="auto"/>
              <w:rPr>
                <w:rFonts w:hint="eastAsia" w:ascii="宋体" w:hAnsi="宋体" w:eastAsia="宋体" w:cs="宋体"/>
                <w:sz w:val="21"/>
                <w:szCs w:val="21"/>
              </w:rPr>
            </w:pPr>
            <w:r>
              <w:rPr>
                <w:rFonts w:hint="eastAsia" w:ascii="宋体" w:hAnsi="宋体" w:eastAsia="宋体" w:cs="宋体"/>
                <w:bCs/>
                <w:sz w:val="21"/>
                <w:szCs w:val="21"/>
              </w:rPr>
              <w:t>2.</w:t>
            </w:r>
            <w:r>
              <w:rPr>
                <w:rFonts w:hint="eastAsia" w:ascii="宋体" w:hAnsi="宋体" w:eastAsia="宋体" w:cs="宋体"/>
                <w:sz w:val="21"/>
                <w:szCs w:val="21"/>
              </w:rPr>
              <w:t>现场培训：投标供应商应提供现场技术培训，保证使用人员正常操作设备的各种功能。</w:t>
            </w:r>
          </w:p>
          <w:p w14:paraId="76CA1F9B">
            <w:pPr>
              <w:spacing w:line="360" w:lineRule="auto"/>
              <w:jc w:val="left"/>
              <w:rPr>
                <w:rFonts w:hint="eastAsia" w:ascii="宋体" w:hAnsi="宋体" w:eastAsia="宋体" w:cs="宋体"/>
                <w:color w:val="000000"/>
                <w:kern w:val="0"/>
                <w:sz w:val="21"/>
                <w:szCs w:val="21"/>
              </w:rPr>
            </w:pPr>
            <w:r>
              <w:rPr>
                <w:rFonts w:hint="eastAsia" w:ascii="宋体" w:hAnsi="宋体" w:eastAsia="宋体" w:cs="宋体"/>
                <w:sz w:val="21"/>
                <w:szCs w:val="21"/>
              </w:rPr>
              <w:t>3.</w:t>
            </w:r>
            <w:r>
              <w:rPr>
                <w:rFonts w:hint="eastAsia" w:ascii="宋体" w:hAnsi="宋体" w:eastAsia="宋体" w:cs="宋体"/>
                <w:color w:val="000000"/>
                <w:kern w:val="0"/>
                <w:sz w:val="21"/>
                <w:szCs w:val="21"/>
              </w:rPr>
              <w:t>集中培训：根据设备技术要求，可向投标人提供使用和维修技术人员培训。</w:t>
            </w:r>
          </w:p>
          <w:p w14:paraId="0BCFBB5B">
            <w:pPr>
              <w:spacing w:line="276" w:lineRule="auto"/>
              <w:rPr>
                <w:rFonts w:hint="eastAsia" w:ascii="宋体" w:hAnsi="宋体" w:eastAsia="宋体" w:cs="宋体"/>
                <w:bCs/>
                <w:sz w:val="21"/>
                <w:szCs w:val="21"/>
              </w:rPr>
            </w:pPr>
            <w:r>
              <w:rPr>
                <w:rFonts w:hint="eastAsia" w:ascii="宋体" w:hAnsi="宋体" w:eastAsia="宋体" w:cs="宋体"/>
                <w:color w:val="000000"/>
                <w:kern w:val="0"/>
                <w:sz w:val="21"/>
                <w:szCs w:val="21"/>
              </w:rPr>
              <w:t>4.计算机辅助培训：</w:t>
            </w:r>
            <w:r>
              <w:rPr>
                <w:rFonts w:hint="eastAsia" w:ascii="宋体" w:hAnsi="宋体" w:eastAsia="宋体" w:cs="宋体"/>
                <w:color w:val="000000"/>
                <w:kern w:val="0"/>
                <w:sz w:val="21"/>
                <w:szCs w:val="21"/>
                <w:lang w:val="en-US" w:eastAsia="zh-CN"/>
              </w:rPr>
              <w:t>具有</w:t>
            </w:r>
            <w:r>
              <w:rPr>
                <w:rFonts w:hint="eastAsia" w:ascii="宋体" w:hAnsi="宋体" w:eastAsia="宋体" w:cs="宋体"/>
                <w:color w:val="000000"/>
                <w:kern w:val="0"/>
                <w:sz w:val="21"/>
                <w:szCs w:val="21"/>
              </w:rPr>
              <w:t>针对该机型的多媒体互动操作教学软件，方便学习掌握基本操作和各项高级功能</w:t>
            </w:r>
          </w:p>
        </w:tc>
      </w:tr>
      <w:tr w14:paraId="24CB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704" w:type="dxa"/>
            <w:vAlign w:val="center"/>
          </w:tcPr>
          <w:p w14:paraId="78CDDFE1">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8</w:t>
            </w:r>
          </w:p>
        </w:tc>
        <w:tc>
          <w:tcPr>
            <w:tcW w:w="1523" w:type="dxa"/>
            <w:vAlign w:val="center"/>
          </w:tcPr>
          <w:p w14:paraId="6DCD4C9C">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★知识产权</w:t>
            </w:r>
          </w:p>
        </w:tc>
        <w:tc>
          <w:tcPr>
            <w:tcW w:w="6539" w:type="dxa"/>
            <w:vAlign w:val="center"/>
          </w:tcPr>
          <w:p w14:paraId="5ED38154">
            <w:pPr>
              <w:spacing w:line="276" w:lineRule="auto"/>
              <w:rPr>
                <w:rFonts w:hint="eastAsia" w:ascii="宋体" w:hAnsi="宋体" w:eastAsia="宋体" w:cs="宋体"/>
                <w:bCs/>
                <w:sz w:val="21"/>
                <w:szCs w:val="21"/>
              </w:rPr>
            </w:pPr>
            <w:r>
              <w:rPr>
                <w:rFonts w:hint="eastAsia" w:ascii="宋体" w:hAnsi="宋体" w:eastAsia="宋体" w:cs="宋体"/>
                <w:bCs/>
                <w:sz w:val="21"/>
                <w:szCs w:val="21"/>
              </w:rPr>
              <w:t>1.中标人提供的货物必须是合法厂家生产和经销的原包装产品（包括零配件），必须具备生产日期、厂家、厂址、产品合格证等；</w:t>
            </w:r>
          </w:p>
          <w:p w14:paraId="350D9035">
            <w:pPr>
              <w:spacing w:line="276" w:lineRule="auto"/>
              <w:rPr>
                <w:rFonts w:hint="eastAsia" w:ascii="宋体" w:hAnsi="宋体" w:eastAsia="宋体" w:cs="宋体"/>
                <w:bCs/>
                <w:sz w:val="21"/>
                <w:szCs w:val="21"/>
              </w:rPr>
            </w:pPr>
            <w:r>
              <w:rPr>
                <w:rFonts w:hint="eastAsia" w:ascii="宋体" w:hAnsi="宋体" w:eastAsia="宋体" w:cs="宋体"/>
                <w:bCs/>
                <w:sz w:val="21"/>
                <w:szCs w:val="21"/>
              </w:rPr>
              <w:t>2.标人应保证采购人在使用货物或其任何一部分时，免受第三方提出的侵犯其专利权、商标权、著作权或其它知识产权的起诉或司法干预。中标人保证所提供软件的合法性，所发生的任何知识产权纠纷与采购人无关。若因为知识产权纠纷造成的一切损害赔偿及损失由中标人承担，包括但不限于实际损失、预期损失和对方要求赔偿损失及支出的律师费、交通费和差旅费等；</w:t>
            </w:r>
          </w:p>
          <w:p w14:paraId="44D55005">
            <w:pPr>
              <w:spacing w:line="276" w:lineRule="auto"/>
              <w:rPr>
                <w:rFonts w:hint="eastAsia" w:ascii="宋体" w:hAnsi="宋体" w:eastAsia="宋体" w:cs="宋体"/>
                <w:sz w:val="21"/>
                <w:szCs w:val="21"/>
              </w:rPr>
            </w:pPr>
            <w:r>
              <w:rPr>
                <w:rFonts w:hint="eastAsia" w:ascii="宋体" w:hAnsi="宋体" w:eastAsia="宋体" w:cs="宋体"/>
                <w:bCs/>
                <w:sz w:val="21"/>
                <w:szCs w:val="21"/>
              </w:rPr>
              <w:t>3.采购人购买产品后，有权对该产品与其他设备进行配套、整合或适当改进，而免受侵犯专利权的起诉。</w:t>
            </w:r>
          </w:p>
        </w:tc>
      </w:tr>
      <w:tr w14:paraId="5FDD6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39ED59C6">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9</w:t>
            </w:r>
          </w:p>
        </w:tc>
        <w:tc>
          <w:tcPr>
            <w:tcW w:w="1523" w:type="dxa"/>
            <w:vAlign w:val="center"/>
          </w:tcPr>
          <w:p w14:paraId="63B38205">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w:t>
            </w:r>
            <w:r>
              <w:rPr>
                <w:rFonts w:hint="eastAsia" w:ascii="宋体" w:hAnsi="宋体" w:eastAsia="宋体" w:cs="宋体"/>
                <w:bCs/>
                <w:color w:val="000000"/>
                <w:sz w:val="21"/>
                <w:szCs w:val="21"/>
              </w:rPr>
              <w:t>其他</w:t>
            </w:r>
          </w:p>
        </w:tc>
        <w:tc>
          <w:tcPr>
            <w:tcW w:w="6539" w:type="dxa"/>
            <w:vAlign w:val="center"/>
          </w:tcPr>
          <w:p w14:paraId="3B8A7E4A">
            <w:pPr>
              <w:spacing w:line="276" w:lineRule="auto"/>
              <w:rPr>
                <w:rFonts w:hint="eastAsia" w:ascii="宋体" w:hAnsi="宋体" w:eastAsia="宋体" w:cs="宋体"/>
                <w:sz w:val="21"/>
                <w:szCs w:val="21"/>
              </w:rPr>
            </w:pPr>
            <w:r>
              <w:rPr>
                <w:rFonts w:hint="eastAsia" w:ascii="宋体" w:hAnsi="宋体" w:eastAsia="宋体" w:cs="宋体"/>
                <w:sz w:val="21"/>
                <w:szCs w:val="21"/>
              </w:rPr>
              <w:t>1.中标人应按其投标文件中的承诺，进行其他售后服务工作。</w:t>
            </w:r>
          </w:p>
          <w:p w14:paraId="29E62764">
            <w:pPr>
              <w:spacing w:line="276" w:lineRule="auto"/>
              <w:rPr>
                <w:rFonts w:hint="eastAsia" w:ascii="宋体" w:hAnsi="宋体" w:eastAsia="宋体" w:cs="宋体"/>
                <w:sz w:val="21"/>
                <w:szCs w:val="21"/>
              </w:rPr>
            </w:pPr>
            <w:r>
              <w:rPr>
                <w:rFonts w:hint="eastAsia" w:ascii="宋体" w:hAnsi="宋体" w:eastAsia="宋体" w:cs="宋体"/>
                <w:sz w:val="21"/>
                <w:szCs w:val="21"/>
              </w:rPr>
              <w:t>2.本项目中如有涉及水、电、气设备安装及调试、室外高空作业等项目的中标人承诺使用具有国家认可资质的操作人员（资质证书仍在有效期内）实施，否则由此造成的后果由中标人负责。</w:t>
            </w:r>
          </w:p>
          <w:p w14:paraId="78E5990B">
            <w:pPr>
              <w:spacing w:line="276" w:lineRule="auto"/>
              <w:rPr>
                <w:rFonts w:hint="eastAsia" w:ascii="宋体" w:hAnsi="宋体" w:eastAsia="宋体" w:cs="宋体"/>
                <w:sz w:val="21"/>
                <w:szCs w:val="21"/>
              </w:rPr>
            </w:pPr>
            <w:r>
              <w:rPr>
                <w:rFonts w:hint="eastAsia" w:ascii="宋体" w:hAnsi="宋体" w:eastAsia="宋体" w:cs="宋体"/>
                <w:sz w:val="21"/>
                <w:szCs w:val="21"/>
              </w:rPr>
              <w:t>3.如所投产品受行业主管部门规定强制认证或检测或许可的（如3C认证或检测报告或工信部进网许可证等），中标人在签订合同前向采购单位提供相关认证证书或检测报告。</w:t>
            </w:r>
          </w:p>
          <w:p w14:paraId="60ACEE10">
            <w:pPr>
              <w:spacing w:line="276" w:lineRule="auto"/>
              <w:rPr>
                <w:rFonts w:hint="eastAsia" w:ascii="宋体" w:hAnsi="宋体" w:eastAsia="宋体" w:cs="宋体"/>
                <w:sz w:val="21"/>
                <w:szCs w:val="21"/>
              </w:rPr>
            </w:pPr>
            <w:r>
              <w:rPr>
                <w:rFonts w:hint="eastAsia" w:ascii="宋体" w:hAnsi="宋体" w:eastAsia="宋体" w:cs="宋体"/>
                <w:sz w:val="21"/>
                <w:szCs w:val="21"/>
              </w:rPr>
              <w:t>4.本项目所要求的硬件、软件，中标人要配备给采购人，并保证采购人能正常使用，不需要另外增加其他附件和其他费用。</w:t>
            </w:r>
          </w:p>
          <w:p w14:paraId="526D2329">
            <w:pPr>
              <w:spacing w:line="276" w:lineRule="auto"/>
              <w:rPr>
                <w:rFonts w:hint="eastAsia" w:ascii="宋体" w:hAnsi="宋体" w:eastAsia="宋体" w:cs="宋体"/>
                <w:sz w:val="21"/>
                <w:szCs w:val="21"/>
              </w:rPr>
            </w:pPr>
            <w:r>
              <w:rPr>
                <w:rFonts w:hint="eastAsia" w:ascii="宋体" w:hAnsi="宋体" w:eastAsia="宋体" w:cs="宋体"/>
                <w:sz w:val="21"/>
                <w:szCs w:val="21"/>
              </w:rPr>
              <w:t>5、中标人免费负责对接医院相关系统。</w:t>
            </w:r>
          </w:p>
        </w:tc>
      </w:tr>
      <w:tr w14:paraId="5A34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vAlign w:val="center"/>
          </w:tcPr>
          <w:p w14:paraId="4080C787">
            <w:pPr>
              <w:spacing w:line="276" w:lineRule="auto"/>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p>
        </w:tc>
        <w:tc>
          <w:tcPr>
            <w:tcW w:w="1523" w:type="dxa"/>
            <w:vAlign w:val="center"/>
          </w:tcPr>
          <w:p w14:paraId="17E04C40">
            <w:pPr>
              <w:spacing w:line="276" w:lineRule="auto"/>
              <w:jc w:val="center"/>
              <w:rPr>
                <w:rFonts w:hint="eastAsia" w:ascii="宋体" w:hAnsi="宋体" w:eastAsia="宋体" w:cs="宋体"/>
                <w:bCs/>
                <w:sz w:val="21"/>
                <w:szCs w:val="21"/>
              </w:rPr>
            </w:pPr>
            <w:r>
              <w:rPr>
                <w:rFonts w:hint="eastAsia" w:ascii="宋体" w:hAnsi="宋体" w:eastAsia="宋体" w:cs="宋体"/>
                <w:bCs/>
                <w:sz w:val="21"/>
                <w:szCs w:val="21"/>
              </w:rPr>
              <w:t>★项目（产品）要求</w:t>
            </w:r>
          </w:p>
        </w:tc>
        <w:tc>
          <w:tcPr>
            <w:tcW w:w="6539" w:type="dxa"/>
            <w:vAlign w:val="center"/>
          </w:tcPr>
          <w:p w14:paraId="076E1D7E">
            <w:pPr>
              <w:spacing w:line="276"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投标人需承诺，在采购结果执行期限内，纳入采购人范围的公立医院（单位）有权按照成交价格向供应商采购任意数量的增购配件，供应商不得以任何理由拒绝供应或拖延供货，否则将视为违约，供应商须承担相应违约责任。</w:t>
            </w:r>
            <w:r>
              <w:rPr>
                <w:rFonts w:hint="eastAsia" w:ascii="宋体" w:hAnsi="宋体" w:eastAsia="宋体" w:cs="宋体"/>
                <w:b/>
                <w:bCs/>
                <w:color w:val="FF0000"/>
                <w:sz w:val="21"/>
                <w:szCs w:val="21"/>
                <w:lang w:val="en-US" w:eastAsia="zh-CN"/>
              </w:rPr>
              <w:t>（需提供承诺函，格式自拟）</w:t>
            </w:r>
          </w:p>
          <w:p w14:paraId="1059B1A6">
            <w:pPr>
              <w:spacing w:line="276" w:lineRule="auto"/>
              <w:rPr>
                <w:rFonts w:hint="default"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2.投标人产品具备相关主管部门要求的认证资料：若所投产品为第一类医疗器械的，提供医疗行业主管部门签发的有效的《医疗器械备案凭证》（有效期内）扫描件；若所投产品为第二、三类医疗器械的，提供医疗行业主管部门签发的涵盖所投产品的《医疗器械注册证》（有效期内）扫描件。</w:t>
            </w:r>
          </w:p>
        </w:tc>
      </w:tr>
      <w:tr w14:paraId="537B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04" w:type="dxa"/>
            <w:shd w:val="clear" w:color="auto" w:fill="auto"/>
            <w:vAlign w:val="center"/>
          </w:tcPr>
          <w:p w14:paraId="779A4A8A">
            <w:pPr>
              <w:spacing w:line="276" w:lineRule="auto"/>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11</w:t>
            </w:r>
          </w:p>
        </w:tc>
        <w:tc>
          <w:tcPr>
            <w:tcW w:w="1523" w:type="dxa"/>
            <w:shd w:val="clear" w:color="auto" w:fill="auto"/>
            <w:vAlign w:val="center"/>
          </w:tcPr>
          <w:p w14:paraId="78D57032">
            <w:pPr>
              <w:spacing w:line="276" w:lineRule="auto"/>
              <w:jc w:val="center"/>
              <w:rPr>
                <w:rFonts w:hint="eastAsia" w:ascii="宋体" w:hAnsi="宋体" w:eastAsia="宋体" w:cs="宋体"/>
                <w:bCs/>
                <w:kern w:val="2"/>
                <w:sz w:val="21"/>
                <w:szCs w:val="21"/>
                <w:highlight w:val="none"/>
                <w:lang w:val="en-US" w:eastAsia="zh-CN" w:bidi="ar-SA"/>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报价要求</w:t>
            </w:r>
          </w:p>
        </w:tc>
        <w:tc>
          <w:tcPr>
            <w:tcW w:w="6539" w:type="dxa"/>
            <w:shd w:val="clear" w:color="auto" w:fill="auto"/>
            <w:vAlign w:val="center"/>
          </w:tcPr>
          <w:p w14:paraId="7DB3C780">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本项目投标报价采用包干制，</w:t>
            </w:r>
            <w:r>
              <w:rPr>
                <w:rFonts w:hint="eastAsia" w:ascii="宋体" w:hAnsi="宋体" w:eastAsia="宋体" w:cs="宋体"/>
                <w:sz w:val="21"/>
                <w:szCs w:val="21"/>
                <w:highlight w:val="none"/>
                <w:lang w:eastAsia="zh-CN"/>
              </w:rPr>
              <w:t>投标总价须是完成该项目的一切费用总和，包括设备费、运输费、装卸费、保险费、技术培训费、设备安装费、调试费、售后服务费、国家规定的各项税费等全部费用</w:t>
            </w:r>
            <w:r>
              <w:rPr>
                <w:rFonts w:hint="eastAsia" w:ascii="宋体" w:hAnsi="宋体" w:eastAsia="宋体" w:cs="宋体"/>
                <w:sz w:val="21"/>
                <w:szCs w:val="21"/>
                <w:highlight w:val="none"/>
              </w:rPr>
              <w:t>。由投标人根据</w:t>
            </w: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需求自行测算投标报价；一经中标，投标报价即作为中标单位与采购人签订的合同金额。</w:t>
            </w:r>
          </w:p>
          <w:p w14:paraId="73A5456E">
            <w:pPr>
              <w:spacing w:line="276" w:lineRule="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2.投标人应充分了解项目的位置、情况、道路及任何其他足以影响投标报价的情况，任何因忽视或误解项目情况而导致的索赔或服务期限延长申请将不获批准。</w:t>
            </w:r>
          </w:p>
          <w:p w14:paraId="09F1A18C">
            <w:pPr>
              <w:spacing w:line="276"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450C26C6">
            <w:pPr>
              <w:spacing w:line="276"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除政府采购合同继续履行将损害国家利益和社会公共利益外，双方当事人不得擅自变更、中止或者终止合同。</w:t>
            </w:r>
          </w:p>
        </w:tc>
      </w:tr>
    </w:tbl>
    <w:p w14:paraId="728EB9CC">
      <w:pPr>
        <w:widowControl/>
        <w:spacing w:before="100" w:beforeAutospacing="1" w:after="100" w:afterAutospacing="1" w:line="405" w:lineRule="atLeast"/>
        <w:ind w:left="0"/>
        <w:jc w:val="left"/>
        <w:rPr>
          <w:rFonts w:ascii="宋体" w:hAnsi="宋体" w:eastAsia="宋体" w:cs="宋体"/>
          <w:kern w:val="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Verdana">
    <w:panose1 w:val="020B0604030504040204"/>
    <w:charset w:val="00"/>
    <w:family w:val="swiss"/>
    <w:pitch w:val="default"/>
    <w:sig w:usb0="A00006FF" w:usb1="4000205B" w:usb2="00000010" w:usb3="00000000" w:csb0="2000019F" w:csb1="00000000"/>
  </w:font>
  <w:font w:name="Dotu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HYg2gj">
    <w:altName w:val="Malgun Gothic Semilight"/>
    <w:panose1 w:val="00000000000000000000"/>
    <w:charset w:val="80"/>
    <w:family w:val="auto"/>
    <w:pitch w:val="default"/>
    <w:sig w:usb0="00000000" w:usb1="00000000" w:usb2="00000010" w:usb3="00000000" w:csb0="0006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0633688"/>
    </w:sdtPr>
    <w:sdtContent>
      <w:p w14:paraId="170E25F4">
        <w:pPr>
          <w:pStyle w:val="17"/>
          <w:jc w:val="center"/>
        </w:pPr>
        <w:r>
          <w:fldChar w:fldCharType="begin"/>
        </w:r>
        <w:r>
          <w:instrText xml:space="preserve">PAGE   \* MERGEFORMAT</w:instrText>
        </w:r>
        <w:r>
          <w:fldChar w:fldCharType="separate"/>
        </w:r>
        <w:r>
          <w:rPr>
            <w:lang w:val="zh-CN"/>
          </w:rPr>
          <w:t>1</w:t>
        </w:r>
        <w:r>
          <w:fldChar w:fldCharType="end"/>
        </w:r>
      </w:p>
    </w:sdtContent>
  </w:sdt>
  <w:p w14:paraId="3C97B81D">
    <w:pPr>
      <w:pStyle w:val="1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5MGM2OTQxZDAxNWJkMzk4ZDc1OTNhNzBmMzYwMGQifQ=="/>
  </w:docVars>
  <w:rsids>
    <w:rsidRoot w:val="00666D5D"/>
    <w:rsid w:val="00021EF9"/>
    <w:rsid w:val="0002794D"/>
    <w:rsid w:val="000807F5"/>
    <w:rsid w:val="00081720"/>
    <w:rsid w:val="00091CB3"/>
    <w:rsid w:val="000A14CD"/>
    <w:rsid w:val="000B7CFA"/>
    <w:rsid w:val="00140990"/>
    <w:rsid w:val="001549FC"/>
    <w:rsid w:val="0016386D"/>
    <w:rsid w:val="00183F41"/>
    <w:rsid w:val="001A5334"/>
    <w:rsid w:val="001B38E5"/>
    <w:rsid w:val="001E6CC5"/>
    <w:rsid w:val="00231888"/>
    <w:rsid w:val="002615AB"/>
    <w:rsid w:val="00266B73"/>
    <w:rsid w:val="002A1637"/>
    <w:rsid w:val="002C1AB6"/>
    <w:rsid w:val="0031522D"/>
    <w:rsid w:val="00315ACC"/>
    <w:rsid w:val="00325CCD"/>
    <w:rsid w:val="003406D0"/>
    <w:rsid w:val="00381D0A"/>
    <w:rsid w:val="003A46EE"/>
    <w:rsid w:val="003B3971"/>
    <w:rsid w:val="003C7DB6"/>
    <w:rsid w:val="003D382D"/>
    <w:rsid w:val="00402C71"/>
    <w:rsid w:val="00417B3E"/>
    <w:rsid w:val="00455320"/>
    <w:rsid w:val="00487349"/>
    <w:rsid w:val="004B2BCF"/>
    <w:rsid w:val="004B7D99"/>
    <w:rsid w:val="00502560"/>
    <w:rsid w:val="00504EB3"/>
    <w:rsid w:val="00513B70"/>
    <w:rsid w:val="005179F3"/>
    <w:rsid w:val="00585A60"/>
    <w:rsid w:val="00590BC8"/>
    <w:rsid w:val="005D4D34"/>
    <w:rsid w:val="005E1E92"/>
    <w:rsid w:val="00621D1F"/>
    <w:rsid w:val="00630D28"/>
    <w:rsid w:val="00630F73"/>
    <w:rsid w:val="00663711"/>
    <w:rsid w:val="00666D5D"/>
    <w:rsid w:val="00683ABF"/>
    <w:rsid w:val="00687666"/>
    <w:rsid w:val="00695DBD"/>
    <w:rsid w:val="006A4EC1"/>
    <w:rsid w:val="006B66CD"/>
    <w:rsid w:val="006C4258"/>
    <w:rsid w:val="006E6455"/>
    <w:rsid w:val="0070302D"/>
    <w:rsid w:val="00710C92"/>
    <w:rsid w:val="007119E3"/>
    <w:rsid w:val="00731B6E"/>
    <w:rsid w:val="007436C5"/>
    <w:rsid w:val="00766224"/>
    <w:rsid w:val="007866D4"/>
    <w:rsid w:val="007B6359"/>
    <w:rsid w:val="007C1287"/>
    <w:rsid w:val="007D023A"/>
    <w:rsid w:val="007D2B87"/>
    <w:rsid w:val="007E5FD6"/>
    <w:rsid w:val="007F0A1D"/>
    <w:rsid w:val="00805B57"/>
    <w:rsid w:val="00810632"/>
    <w:rsid w:val="00816610"/>
    <w:rsid w:val="00823C52"/>
    <w:rsid w:val="00843F2E"/>
    <w:rsid w:val="00855727"/>
    <w:rsid w:val="0086052C"/>
    <w:rsid w:val="008667A0"/>
    <w:rsid w:val="008D49E4"/>
    <w:rsid w:val="00937F86"/>
    <w:rsid w:val="00950C29"/>
    <w:rsid w:val="0095373B"/>
    <w:rsid w:val="0098217A"/>
    <w:rsid w:val="0099294D"/>
    <w:rsid w:val="00993CAA"/>
    <w:rsid w:val="009D04A1"/>
    <w:rsid w:val="009E04CD"/>
    <w:rsid w:val="009E4CAE"/>
    <w:rsid w:val="009E59EA"/>
    <w:rsid w:val="009E7236"/>
    <w:rsid w:val="009E7ACC"/>
    <w:rsid w:val="00A00C20"/>
    <w:rsid w:val="00A13716"/>
    <w:rsid w:val="00A67CBE"/>
    <w:rsid w:val="00A971A0"/>
    <w:rsid w:val="00AD49DE"/>
    <w:rsid w:val="00AF47BD"/>
    <w:rsid w:val="00B2294D"/>
    <w:rsid w:val="00B50A50"/>
    <w:rsid w:val="00B721F3"/>
    <w:rsid w:val="00B878CB"/>
    <w:rsid w:val="00BE4A4C"/>
    <w:rsid w:val="00BE5F55"/>
    <w:rsid w:val="00C02B6F"/>
    <w:rsid w:val="00C21598"/>
    <w:rsid w:val="00C400A6"/>
    <w:rsid w:val="00C73FB6"/>
    <w:rsid w:val="00CC4B42"/>
    <w:rsid w:val="00CE0BFD"/>
    <w:rsid w:val="00D26580"/>
    <w:rsid w:val="00D3529C"/>
    <w:rsid w:val="00D36570"/>
    <w:rsid w:val="00D365E6"/>
    <w:rsid w:val="00D547DE"/>
    <w:rsid w:val="00D854DD"/>
    <w:rsid w:val="00DD6E24"/>
    <w:rsid w:val="00E30BBC"/>
    <w:rsid w:val="00E466E0"/>
    <w:rsid w:val="00E46A4F"/>
    <w:rsid w:val="00E834C6"/>
    <w:rsid w:val="00EA2AEA"/>
    <w:rsid w:val="00EA4116"/>
    <w:rsid w:val="00EB24FF"/>
    <w:rsid w:val="00ED0E37"/>
    <w:rsid w:val="00ED2C5A"/>
    <w:rsid w:val="00ED6340"/>
    <w:rsid w:val="00EF379C"/>
    <w:rsid w:val="00F05037"/>
    <w:rsid w:val="00F7151C"/>
    <w:rsid w:val="00F807DC"/>
    <w:rsid w:val="00F93A84"/>
    <w:rsid w:val="00FA3319"/>
    <w:rsid w:val="00FC4B4B"/>
    <w:rsid w:val="00FD6AC3"/>
    <w:rsid w:val="00FE31AB"/>
    <w:rsid w:val="00FF652E"/>
    <w:rsid w:val="01865768"/>
    <w:rsid w:val="0261662C"/>
    <w:rsid w:val="03140F5D"/>
    <w:rsid w:val="03C912CF"/>
    <w:rsid w:val="04044E4B"/>
    <w:rsid w:val="04651CD8"/>
    <w:rsid w:val="048C54B6"/>
    <w:rsid w:val="05575E3E"/>
    <w:rsid w:val="05A21435"/>
    <w:rsid w:val="05D53AD5"/>
    <w:rsid w:val="066E30C6"/>
    <w:rsid w:val="06F76D14"/>
    <w:rsid w:val="070E48A8"/>
    <w:rsid w:val="071270BC"/>
    <w:rsid w:val="07294629"/>
    <w:rsid w:val="07817CA2"/>
    <w:rsid w:val="080E22FB"/>
    <w:rsid w:val="08122176"/>
    <w:rsid w:val="093E4C85"/>
    <w:rsid w:val="096609CC"/>
    <w:rsid w:val="0A2D14EA"/>
    <w:rsid w:val="0A317D21"/>
    <w:rsid w:val="0A374116"/>
    <w:rsid w:val="0A397E8E"/>
    <w:rsid w:val="0A530F50"/>
    <w:rsid w:val="0B342891"/>
    <w:rsid w:val="0B626F71"/>
    <w:rsid w:val="0BA80E28"/>
    <w:rsid w:val="0C3F70ED"/>
    <w:rsid w:val="0C76575C"/>
    <w:rsid w:val="0CF06F2A"/>
    <w:rsid w:val="0D9F26FE"/>
    <w:rsid w:val="0E084D2A"/>
    <w:rsid w:val="0E0A5692"/>
    <w:rsid w:val="0ED713B2"/>
    <w:rsid w:val="0EF26BE2"/>
    <w:rsid w:val="0F690D66"/>
    <w:rsid w:val="10CD621A"/>
    <w:rsid w:val="11676B7B"/>
    <w:rsid w:val="117A3266"/>
    <w:rsid w:val="11C20769"/>
    <w:rsid w:val="12353631"/>
    <w:rsid w:val="12437AFC"/>
    <w:rsid w:val="12EF1A32"/>
    <w:rsid w:val="131F6B44"/>
    <w:rsid w:val="13756ECB"/>
    <w:rsid w:val="13B13D62"/>
    <w:rsid w:val="14B6767D"/>
    <w:rsid w:val="14C479D3"/>
    <w:rsid w:val="15997BE3"/>
    <w:rsid w:val="15C251DC"/>
    <w:rsid w:val="15E01507"/>
    <w:rsid w:val="164A75BB"/>
    <w:rsid w:val="17563E0A"/>
    <w:rsid w:val="18826AEA"/>
    <w:rsid w:val="18C97001"/>
    <w:rsid w:val="18EB4A4A"/>
    <w:rsid w:val="19C332D1"/>
    <w:rsid w:val="19D93231"/>
    <w:rsid w:val="1A4620A1"/>
    <w:rsid w:val="1B2129A5"/>
    <w:rsid w:val="1B3228AE"/>
    <w:rsid w:val="1C8C6840"/>
    <w:rsid w:val="1DA60D77"/>
    <w:rsid w:val="1DB554F3"/>
    <w:rsid w:val="1E4470D6"/>
    <w:rsid w:val="1F421D3D"/>
    <w:rsid w:val="1FB57B5F"/>
    <w:rsid w:val="1FE521F3"/>
    <w:rsid w:val="20084133"/>
    <w:rsid w:val="20887022"/>
    <w:rsid w:val="217B4818"/>
    <w:rsid w:val="231C2D03"/>
    <w:rsid w:val="246D27B7"/>
    <w:rsid w:val="24810456"/>
    <w:rsid w:val="24B44889"/>
    <w:rsid w:val="24F37160"/>
    <w:rsid w:val="250564CD"/>
    <w:rsid w:val="2518573E"/>
    <w:rsid w:val="25EB374C"/>
    <w:rsid w:val="264E03C6"/>
    <w:rsid w:val="26606A77"/>
    <w:rsid w:val="266D4AC9"/>
    <w:rsid w:val="27A01FE0"/>
    <w:rsid w:val="285A74F6"/>
    <w:rsid w:val="29054D27"/>
    <w:rsid w:val="292F2731"/>
    <w:rsid w:val="295700ED"/>
    <w:rsid w:val="29C70BBB"/>
    <w:rsid w:val="2A27165A"/>
    <w:rsid w:val="2A90397F"/>
    <w:rsid w:val="2BA92E7D"/>
    <w:rsid w:val="2C3A02A4"/>
    <w:rsid w:val="2C6B1CD2"/>
    <w:rsid w:val="2C86622F"/>
    <w:rsid w:val="2CE31DDE"/>
    <w:rsid w:val="2DAC25A2"/>
    <w:rsid w:val="2E4B35F0"/>
    <w:rsid w:val="2EB84F76"/>
    <w:rsid w:val="2FCE252C"/>
    <w:rsid w:val="2FD24608"/>
    <w:rsid w:val="302A3C52"/>
    <w:rsid w:val="30784A2F"/>
    <w:rsid w:val="31083F93"/>
    <w:rsid w:val="31F664E1"/>
    <w:rsid w:val="324D5700"/>
    <w:rsid w:val="32BD0DAD"/>
    <w:rsid w:val="32F742BF"/>
    <w:rsid w:val="332E3A59"/>
    <w:rsid w:val="3358616F"/>
    <w:rsid w:val="335A4B4A"/>
    <w:rsid w:val="344F1ED9"/>
    <w:rsid w:val="345474EF"/>
    <w:rsid w:val="34C12A7F"/>
    <w:rsid w:val="358A6B3D"/>
    <w:rsid w:val="35E800E5"/>
    <w:rsid w:val="36074868"/>
    <w:rsid w:val="3621722F"/>
    <w:rsid w:val="36A209E6"/>
    <w:rsid w:val="36F024E0"/>
    <w:rsid w:val="37A70B41"/>
    <w:rsid w:val="381C20D2"/>
    <w:rsid w:val="38E946AA"/>
    <w:rsid w:val="39363AEB"/>
    <w:rsid w:val="394E09B1"/>
    <w:rsid w:val="39580A72"/>
    <w:rsid w:val="3962445C"/>
    <w:rsid w:val="39DE7F87"/>
    <w:rsid w:val="3A3C4CAD"/>
    <w:rsid w:val="3A706D35"/>
    <w:rsid w:val="3AA06FEA"/>
    <w:rsid w:val="3BB84807"/>
    <w:rsid w:val="3CA76E4F"/>
    <w:rsid w:val="3CB149EB"/>
    <w:rsid w:val="3CE55188"/>
    <w:rsid w:val="3CFE624A"/>
    <w:rsid w:val="3D977D5D"/>
    <w:rsid w:val="3DA37BAD"/>
    <w:rsid w:val="3DF26E9B"/>
    <w:rsid w:val="3E45410E"/>
    <w:rsid w:val="3EA70AA4"/>
    <w:rsid w:val="3F7B0026"/>
    <w:rsid w:val="3FA53259"/>
    <w:rsid w:val="3FC74B47"/>
    <w:rsid w:val="406E36E7"/>
    <w:rsid w:val="407451A1"/>
    <w:rsid w:val="40781FFC"/>
    <w:rsid w:val="40EE3C19"/>
    <w:rsid w:val="410F0A26"/>
    <w:rsid w:val="419B675D"/>
    <w:rsid w:val="41FA3B60"/>
    <w:rsid w:val="42144718"/>
    <w:rsid w:val="421D53C4"/>
    <w:rsid w:val="42DC527F"/>
    <w:rsid w:val="438754E6"/>
    <w:rsid w:val="43884ABF"/>
    <w:rsid w:val="43B458B4"/>
    <w:rsid w:val="4407632C"/>
    <w:rsid w:val="44705C7F"/>
    <w:rsid w:val="44954AF8"/>
    <w:rsid w:val="4497145E"/>
    <w:rsid w:val="44C01765"/>
    <w:rsid w:val="455E01CE"/>
    <w:rsid w:val="459260C9"/>
    <w:rsid w:val="46ED1809"/>
    <w:rsid w:val="470152B5"/>
    <w:rsid w:val="476F1108"/>
    <w:rsid w:val="47727F60"/>
    <w:rsid w:val="4831489A"/>
    <w:rsid w:val="48EC789E"/>
    <w:rsid w:val="49284F02"/>
    <w:rsid w:val="49940EDE"/>
    <w:rsid w:val="49E36EF3"/>
    <w:rsid w:val="4A783242"/>
    <w:rsid w:val="4ABC313C"/>
    <w:rsid w:val="4B354149"/>
    <w:rsid w:val="4B49722A"/>
    <w:rsid w:val="4BA03DB7"/>
    <w:rsid w:val="4BA742E9"/>
    <w:rsid w:val="4CCA6149"/>
    <w:rsid w:val="4F030A6B"/>
    <w:rsid w:val="4F930DE2"/>
    <w:rsid w:val="4FC43323"/>
    <w:rsid w:val="4FC81F97"/>
    <w:rsid w:val="4FCD042A"/>
    <w:rsid w:val="4FF359B6"/>
    <w:rsid w:val="502617E8"/>
    <w:rsid w:val="504B75A0"/>
    <w:rsid w:val="50777229"/>
    <w:rsid w:val="514566E6"/>
    <w:rsid w:val="515446D3"/>
    <w:rsid w:val="516659F6"/>
    <w:rsid w:val="51A0391C"/>
    <w:rsid w:val="52CB6777"/>
    <w:rsid w:val="52E8557B"/>
    <w:rsid w:val="545F186C"/>
    <w:rsid w:val="54B36E3B"/>
    <w:rsid w:val="54CA318A"/>
    <w:rsid w:val="550F5041"/>
    <w:rsid w:val="551F4C63"/>
    <w:rsid w:val="55937A20"/>
    <w:rsid w:val="56AD2D63"/>
    <w:rsid w:val="576700C8"/>
    <w:rsid w:val="582F73F0"/>
    <w:rsid w:val="58574D2A"/>
    <w:rsid w:val="58CD149A"/>
    <w:rsid w:val="5953240B"/>
    <w:rsid w:val="5A7C2066"/>
    <w:rsid w:val="5C186ED1"/>
    <w:rsid w:val="5D262A06"/>
    <w:rsid w:val="5D5F6439"/>
    <w:rsid w:val="5D894700"/>
    <w:rsid w:val="5E285067"/>
    <w:rsid w:val="5E6A778C"/>
    <w:rsid w:val="5ECB022A"/>
    <w:rsid w:val="5F7C63AA"/>
    <w:rsid w:val="5F9C5723"/>
    <w:rsid w:val="616B1851"/>
    <w:rsid w:val="628A21AA"/>
    <w:rsid w:val="62AE5E99"/>
    <w:rsid w:val="635D166D"/>
    <w:rsid w:val="638B61DA"/>
    <w:rsid w:val="63B374DF"/>
    <w:rsid w:val="63BB71C0"/>
    <w:rsid w:val="64041AE8"/>
    <w:rsid w:val="641461CF"/>
    <w:rsid w:val="654318CD"/>
    <w:rsid w:val="65864EAB"/>
    <w:rsid w:val="65D03C11"/>
    <w:rsid w:val="65EE1B70"/>
    <w:rsid w:val="668F4233"/>
    <w:rsid w:val="671B7875"/>
    <w:rsid w:val="674943E2"/>
    <w:rsid w:val="67564D51"/>
    <w:rsid w:val="685A617B"/>
    <w:rsid w:val="690D7691"/>
    <w:rsid w:val="6976144B"/>
    <w:rsid w:val="6A4D41E9"/>
    <w:rsid w:val="6B3C7DBA"/>
    <w:rsid w:val="6C2204DE"/>
    <w:rsid w:val="6CA87A31"/>
    <w:rsid w:val="6D5C086D"/>
    <w:rsid w:val="6D6F091A"/>
    <w:rsid w:val="6DA57E98"/>
    <w:rsid w:val="6E1C105D"/>
    <w:rsid w:val="6F3A5392"/>
    <w:rsid w:val="70384FF4"/>
    <w:rsid w:val="704A4D27"/>
    <w:rsid w:val="70657DC2"/>
    <w:rsid w:val="71233EF6"/>
    <w:rsid w:val="713559D7"/>
    <w:rsid w:val="71542AF6"/>
    <w:rsid w:val="71B20DD6"/>
    <w:rsid w:val="71C2204D"/>
    <w:rsid w:val="7213760F"/>
    <w:rsid w:val="72D431C1"/>
    <w:rsid w:val="72FF4709"/>
    <w:rsid w:val="744F3C31"/>
    <w:rsid w:val="749B1FF5"/>
    <w:rsid w:val="75151DA7"/>
    <w:rsid w:val="752D5343"/>
    <w:rsid w:val="75D03F20"/>
    <w:rsid w:val="76405AB1"/>
    <w:rsid w:val="766A1C7F"/>
    <w:rsid w:val="76B34539"/>
    <w:rsid w:val="771542E1"/>
    <w:rsid w:val="777F5BFE"/>
    <w:rsid w:val="778B00FF"/>
    <w:rsid w:val="77E31CE9"/>
    <w:rsid w:val="77FA2155"/>
    <w:rsid w:val="78B83176"/>
    <w:rsid w:val="78EA70A7"/>
    <w:rsid w:val="78F6565F"/>
    <w:rsid w:val="79A01965"/>
    <w:rsid w:val="79C239CA"/>
    <w:rsid w:val="79C30024"/>
    <w:rsid w:val="79F72053"/>
    <w:rsid w:val="7A233ABC"/>
    <w:rsid w:val="7A49604F"/>
    <w:rsid w:val="7A91426C"/>
    <w:rsid w:val="7AF55978"/>
    <w:rsid w:val="7AFD1357"/>
    <w:rsid w:val="7B2106F4"/>
    <w:rsid w:val="7B3B31AD"/>
    <w:rsid w:val="7BD94E15"/>
    <w:rsid w:val="7D985324"/>
    <w:rsid w:val="7DEE7682"/>
    <w:rsid w:val="7E02720C"/>
    <w:rsid w:val="7E861620"/>
    <w:rsid w:val="7EA877E8"/>
    <w:rsid w:val="7F0C3488"/>
    <w:rsid w:val="BFBD5D75"/>
    <w:rsid w:val="DDFF1E9A"/>
    <w:rsid w:val="EBE6D0FA"/>
    <w:rsid w:val="FDF8E10D"/>
    <w:rsid w:val="FFFAD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iPriority="0" w:semiHidden="0" w:name="heading 4"/>
    <w:lsdException w:qFormat="1" w:unhideWhenUsed="0" w:uiPriority="9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nhideWhenUsed="0"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28"/>
    <w:qFormat/>
    <w:uiPriority w:val="0"/>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58"/>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5">
    <w:name w:val="heading 4"/>
    <w:basedOn w:val="1"/>
    <w:next w:val="1"/>
    <w:link w:val="41"/>
    <w:unhideWhenUsed/>
    <w:qFormat/>
    <w:uiPriority w:val="0"/>
    <w:pPr>
      <w:keepNext/>
      <w:keepLines/>
      <w:spacing w:before="280" w:after="290" w:line="376" w:lineRule="auto"/>
      <w:outlineLvl w:val="3"/>
    </w:pPr>
    <w:rPr>
      <w:rFonts w:ascii="Cambria" w:hAnsi="Cambria" w:eastAsia="宋体" w:cs="Times New Roman"/>
      <w:b/>
      <w:bCs/>
      <w:sz w:val="28"/>
      <w:szCs w:val="28"/>
    </w:rPr>
  </w:style>
  <w:style w:type="paragraph" w:styleId="6">
    <w:name w:val="heading 5"/>
    <w:basedOn w:val="1"/>
    <w:next w:val="1"/>
    <w:link w:val="42"/>
    <w:qFormat/>
    <w:uiPriority w:val="99"/>
    <w:pPr>
      <w:widowControl/>
      <w:spacing w:before="100" w:beforeAutospacing="1" w:after="100" w:afterAutospacing="1"/>
      <w:jc w:val="left"/>
      <w:outlineLvl w:val="4"/>
    </w:pPr>
    <w:rPr>
      <w:rFonts w:ascii="宋体" w:hAnsi="宋体" w:eastAsia="宋体" w:cs="Times New Roman"/>
      <w:b/>
      <w:bCs/>
      <w:kern w:val="0"/>
      <w:sz w:val="20"/>
      <w:szCs w:val="20"/>
      <w:lang w:val="zh-CN"/>
    </w:rPr>
  </w:style>
  <w:style w:type="paragraph" w:styleId="7">
    <w:name w:val="heading 6"/>
    <w:basedOn w:val="1"/>
    <w:next w:val="1"/>
    <w:link w:val="59"/>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No Spacing"/>
    <w:qFormat/>
    <w:uiPriority w:val="1"/>
    <w:pPr>
      <w:widowControl w:val="0"/>
      <w:jc w:val="both"/>
    </w:pPr>
    <w:rPr>
      <w:rFonts w:ascii="Calibri" w:hAnsi="Calibri" w:eastAsia="宋体" w:cs="Times New Roman"/>
      <w:kern w:val="2"/>
      <w:sz w:val="21"/>
      <w:szCs w:val="22"/>
      <w:lang w:val="en-US" w:eastAsia="zh-CN" w:bidi="ar-SA"/>
    </w:rPr>
  </w:style>
  <w:style w:type="paragraph" w:styleId="8">
    <w:name w:val="Normal Indent"/>
    <w:basedOn w:val="1"/>
    <w:link w:val="54"/>
    <w:qFormat/>
    <w:uiPriority w:val="0"/>
    <w:pPr>
      <w:ind w:firstLine="420" w:firstLineChars="200"/>
    </w:pPr>
    <w:rPr>
      <w:rFonts w:ascii="Calibri" w:hAnsi="Calibri" w:eastAsia="宋体" w:cs="Times New Roman"/>
    </w:rPr>
  </w:style>
  <w:style w:type="paragraph" w:styleId="9">
    <w:name w:val="Document Map"/>
    <w:basedOn w:val="1"/>
    <w:link w:val="52"/>
    <w:semiHidden/>
    <w:qFormat/>
    <w:uiPriority w:val="99"/>
    <w:pPr>
      <w:shd w:val="clear" w:color="auto" w:fill="000080"/>
    </w:pPr>
    <w:rPr>
      <w:rFonts w:ascii="Times New Roman" w:hAnsi="Times New Roman" w:eastAsia="宋体" w:cs="Times New Roman"/>
      <w:kern w:val="0"/>
      <w:sz w:val="2"/>
      <w:szCs w:val="20"/>
      <w:lang w:val="zh-CN"/>
    </w:rPr>
  </w:style>
  <w:style w:type="paragraph" w:styleId="10">
    <w:name w:val="annotation text"/>
    <w:basedOn w:val="1"/>
    <w:next w:val="11"/>
    <w:link w:val="36"/>
    <w:unhideWhenUsed/>
    <w:qFormat/>
    <w:uiPriority w:val="99"/>
    <w:pPr>
      <w:jc w:val="left"/>
    </w:pPr>
  </w:style>
  <w:style w:type="paragraph" w:styleId="11">
    <w:name w:val="toc 5"/>
    <w:basedOn w:val="1"/>
    <w:next w:val="1"/>
    <w:qFormat/>
    <w:uiPriority w:val="0"/>
    <w:pPr>
      <w:ind w:left="840"/>
      <w:jc w:val="left"/>
    </w:pPr>
    <w:rPr>
      <w:rFonts w:ascii="Calibri" w:hAnsi="Calibri" w:cs="Calibri"/>
      <w:sz w:val="18"/>
      <w:szCs w:val="18"/>
    </w:rPr>
  </w:style>
  <w:style w:type="paragraph" w:styleId="12">
    <w:name w:val="Body Text"/>
    <w:basedOn w:val="1"/>
    <w:next w:val="13"/>
    <w:qFormat/>
    <w:uiPriority w:val="0"/>
    <w:pPr>
      <w:widowControl/>
      <w:spacing w:after="120"/>
      <w:jc w:val="left"/>
    </w:pPr>
    <w:rPr>
      <w:rFonts w:ascii="Times New Roman" w:hAnsi="Times New Roman"/>
      <w:kern w:val="0"/>
      <w:sz w:val="20"/>
      <w:szCs w:val="20"/>
    </w:rPr>
  </w:style>
  <w:style w:type="paragraph" w:styleId="13">
    <w:name w:val="Body Text 2"/>
    <w:basedOn w:val="1"/>
    <w:next w:val="12"/>
    <w:qFormat/>
    <w:uiPriority w:val="0"/>
    <w:pPr>
      <w:adjustRightInd w:val="0"/>
      <w:spacing w:line="360" w:lineRule="atLeast"/>
      <w:ind w:firstLine="720"/>
      <w:textAlignment w:val="baseline"/>
    </w:pPr>
    <w:rPr>
      <w:rFonts w:ascii="Times New Roman" w:hAnsi="Times New Roman"/>
      <w:kern w:val="0"/>
      <w:sz w:val="24"/>
      <w:szCs w:val="24"/>
    </w:rPr>
  </w:style>
  <w:style w:type="paragraph" w:styleId="14">
    <w:name w:val="Body Text Indent"/>
    <w:basedOn w:val="1"/>
    <w:link w:val="46"/>
    <w:qFormat/>
    <w:uiPriority w:val="99"/>
    <w:pPr>
      <w:spacing w:line="360" w:lineRule="auto"/>
      <w:ind w:firstLine="525"/>
    </w:pPr>
    <w:rPr>
      <w:rFonts w:ascii="Arial Narrow" w:hAnsi="Arial Narrow" w:eastAsia="宋体" w:cs="Times New Roman"/>
      <w:kern w:val="0"/>
      <w:szCs w:val="21"/>
      <w:lang w:val="zh-CN"/>
    </w:rPr>
  </w:style>
  <w:style w:type="paragraph" w:styleId="15">
    <w:name w:val="Plain Text"/>
    <w:basedOn w:val="1"/>
    <w:link w:val="38"/>
    <w:qFormat/>
    <w:uiPriority w:val="0"/>
    <w:rPr>
      <w:rFonts w:ascii="Arial Narrow" w:hAnsi="Times New Roman" w:eastAsia="Arial Narrow"/>
    </w:rPr>
  </w:style>
  <w:style w:type="paragraph" w:styleId="16">
    <w:name w:val="Balloon Text"/>
    <w:basedOn w:val="1"/>
    <w:next w:val="1"/>
    <w:link w:val="35"/>
    <w:semiHidden/>
    <w:unhideWhenUsed/>
    <w:qFormat/>
    <w:uiPriority w:val="99"/>
    <w:rPr>
      <w:sz w:val="18"/>
      <w:szCs w:val="18"/>
    </w:rPr>
  </w:style>
  <w:style w:type="paragraph" w:styleId="17">
    <w:name w:val="footer"/>
    <w:basedOn w:val="1"/>
    <w:link w:val="34"/>
    <w:unhideWhenUsed/>
    <w:qFormat/>
    <w:uiPriority w:val="99"/>
    <w:pPr>
      <w:tabs>
        <w:tab w:val="center" w:pos="4153"/>
        <w:tab w:val="right" w:pos="8306"/>
      </w:tabs>
      <w:snapToGrid w:val="0"/>
      <w:jc w:val="left"/>
    </w:pPr>
    <w:rPr>
      <w:sz w:val="18"/>
      <w:szCs w:val="18"/>
    </w:rPr>
  </w:style>
  <w:style w:type="paragraph" w:styleId="18">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20">
    <w:name w:val="annotation subject"/>
    <w:basedOn w:val="10"/>
    <w:next w:val="10"/>
    <w:link w:val="37"/>
    <w:semiHidden/>
    <w:unhideWhenUsed/>
    <w:qFormat/>
    <w:uiPriority w:val="99"/>
    <w:rPr>
      <w:b/>
      <w:bCs/>
    </w:rPr>
  </w:style>
  <w:style w:type="table" w:styleId="22">
    <w:name w:val="Table Grid"/>
    <w:basedOn w:val="21"/>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FollowedHyperlink"/>
    <w:semiHidden/>
    <w:unhideWhenUsed/>
    <w:qFormat/>
    <w:uiPriority w:val="99"/>
    <w:rPr>
      <w:color w:val="954F72"/>
      <w:u w:val="single"/>
    </w:rPr>
  </w:style>
  <w:style w:type="character" w:styleId="26">
    <w:name w:val="Hyperlink"/>
    <w:basedOn w:val="23"/>
    <w:unhideWhenUsed/>
    <w:qFormat/>
    <w:uiPriority w:val="99"/>
    <w:rPr>
      <w:color w:val="0000FF" w:themeColor="hyperlink"/>
      <w:u w:val="single"/>
      <w14:textFill>
        <w14:solidFill>
          <w14:schemeClr w14:val="hlink"/>
        </w14:solidFill>
      </w14:textFill>
    </w:rPr>
  </w:style>
  <w:style w:type="character" w:styleId="27">
    <w:name w:val="annotation reference"/>
    <w:basedOn w:val="23"/>
    <w:unhideWhenUsed/>
    <w:qFormat/>
    <w:uiPriority w:val="99"/>
    <w:rPr>
      <w:sz w:val="21"/>
      <w:szCs w:val="21"/>
    </w:rPr>
  </w:style>
  <w:style w:type="character" w:customStyle="1" w:styleId="28">
    <w:name w:val="标题 2 字符"/>
    <w:basedOn w:val="23"/>
    <w:link w:val="3"/>
    <w:qFormat/>
    <w:uiPriority w:val="0"/>
    <w:rPr>
      <w:rFonts w:ascii="宋体" w:hAnsi="宋体" w:eastAsia="宋体" w:cs="宋体"/>
      <w:b/>
      <w:bCs/>
      <w:kern w:val="0"/>
      <w:sz w:val="36"/>
      <w:szCs w:val="36"/>
    </w:rPr>
  </w:style>
  <w:style w:type="paragraph" w:customStyle="1" w:styleId="29">
    <w:name w:val="tc"/>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0">
    <w:name w:val="displayarti"/>
    <w:basedOn w:val="23"/>
    <w:qFormat/>
    <w:uiPriority w:val="0"/>
  </w:style>
  <w:style w:type="paragraph" w:customStyle="1" w:styleId="31">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32">
    <w:name w:val="15"/>
    <w:basedOn w:val="23"/>
    <w:qFormat/>
    <w:uiPriority w:val="0"/>
  </w:style>
  <w:style w:type="character" w:customStyle="1" w:styleId="33">
    <w:name w:val="页眉 字符"/>
    <w:basedOn w:val="23"/>
    <w:link w:val="18"/>
    <w:qFormat/>
    <w:uiPriority w:val="99"/>
    <w:rPr>
      <w:sz w:val="18"/>
      <w:szCs w:val="18"/>
    </w:rPr>
  </w:style>
  <w:style w:type="character" w:customStyle="1" w:styleId="34">
    <w:name w:val="页脚 字符"/>
    <w:basedOn w:val="23"/>
    <w:link w:val="17"/>
    <w:qFormat/>
    <w:uiPriority w:val="99"/>
    <w:rPr>
      <w:sz w:val="18"/>
      <w:szCs w:val="18"/>
    </w:rPr>
  </w:style>
  <w:style w:type="character" w:customStyle="1" w:styleId="35">
    <w:name w:val="批注框文本 字符"/>
    <w:basedOn w:val="23"/>
    <w:link w:val="16"/>
    <w:semiHidden/>
    <w:qFormat/>
    <w:uiPriority w:val="99"/>
    <w:rPr>
      <w:sz w:val="18"/>
      <w:szCs w:val="18"/>
    </w:rPr>
  </w:style>
  <w:style w:type="character" w:customStyle="1" w:styleId="36">
    <w:name w:val="批注文字 字符"/>
    <w:basedOn w:val="23"/>
    <w:link w:val="10"/>
    <w:qFormat/>
    <w:uiPriority w:val="99"/>
  </w:style>
  <w:style w:type="character" w:customStyle="1" w:styleId="37">
    <w:name w:val="批注主题 字符"/>
    <w:basedOn w:val="36"/>
    <w:link w:val="20"/>
    <w:semiHidden/>
    <w:qFormat/>
    <w:uiPriority w:val="99"/>
    <w:rPr>
      <w:b/>
      <w:bCs/>
    </w:rPr>
  </w:style>
  <w:style w:type="character" w:customStyle="1" w:styleId="38">
    <w:name w:val="纯文本 字符"/>
    <w:basedOn w:val="23"/>
    <w:link w:val="15"/>
    <w:qFormat/>
    <w:uiPriority w:val="0"/>
    <w:rPr>
      <w:rFonts w:ascii="Arial Narrow" w:hAnsi="Times New Roman" w:eastAsia="Arial Narrow"/>
    </w:rPr>
  </w:style>
  <w:style w:type="character" w:customStyle="1" w:styleId="39">
    <w:name w:val="样式3 Char"/>
    <w:link w:val="40"/>
    <w:qFormat/>
    <w:uiPriority w:val="0"/>
    <w:rPr>
      <w:rFonts w:ascii="Arial Narrow" w:eastAsia="Arial Narrow"/>
      <w:sz w:val="28"/>
    </w:rPr>
  </w:style>
  <w:style w:type="paragraph" w:customStyle="1" w:styleId="40">
    <w:name w:val="样式3"/>
    <w:basedOn w:val="15"/>
    <w:link w:val="39"/>
    <w:qFormat/>
    <w:uiPriority w:val="0"/>
    <w:pPr>
      <w:spacing w:line="0" w:lineRule="atLeast"/>
      <w:outlineLvl w:val="0"/>
    </w:pPr>
    <w:rPr>
      <w:rFonts w:hAnsiTheme="minorHAnsi"/>
      <w:sz w:val="28"/>
    </w:rPr>
  </w:style>
  <w:style w:type="character" w:customStyle="1" w:styleId="41">
    <w:name w:val="标题 4 字符"/>
    <w:basedOn w:val="23"/>
    <w:link w:val="5"/>
    <w:qFormat/>
    <w:uiPriority w:val="0"/>
    <w:rPr>
      <w:rFonts w:ascii="Cambria" w:hAnsi="Cambria" w:eastAsia="宋体" w:cs="Times New Roman"/>
      <w:b/>
      <w:bCs/>
      <w:sz w:val="28"/>
      <w:szCs w:val="28"/>
    </w:rPr>
  </w:style>
  <w:style w:type="character" w:customStyle="1" w:styleId="42">
    <w:name w:val="标题 5 字符"/>
    <w:basedOn w:val="23"/>
    <w:link w:val="6"/>
    <w:qFormat/>
    <w:uiPriority w:val="99"/>
    <w:rPr>
      <w:rFonts w:ascii="宋体" w:hAnsi="宋体" w:eastAsia="宋体" w:cs="Times New Roman"/>
      <w:b/>
      <w:bCs/>
      <w:kern w:val="0"/>
      <w:sz w:val="20"/>
      <w:szCs w:val="20"/>
      <w:lang w:val="zh-CN" w:eastAsia="zh-CN"/>
    </w:rPr>
  </w:style>
  <w:style w:type="character" w:customStyle="1" w:styleId="43">
    <w:name w:val="Comment Text Char"/>
    <w:semiHidden/>
    <w:qFormat/>
    <w:locked/>
    <w:uiPriority w:val="99"/>
    <w:rPr>
      <w:sz w:val="24"/>
    </w:rPr>
  </w:style>
  <w:style w:type="character" w:customStyle="1" w:styleId="44">
    <w:name w:val="批注文字 Char1"/>
    <w:semiHidden/>
    <w:qFormat/>
    <w:uiPriority w:val="99"/>
    <w:rPr>
      <w:rFonts w:cs="Times New Roman"/>
    </w:rPr>
  </w:style>
  <w:style w:type="character" w:customStyle="1" w:styleId="45">
    <w:name w:val="lbl"/>
    <w:qFormat/>
    <w:uiPriority w:val="99"/>
    <w:rPr>
      <w:rFonts w:cs="Times New Roman"/>
    </w:rPr>
  </w:style>
  <w:style w:type="character" w:customStyle="1" w:styleId="46">
    <w:name w:val="正文文本缩进 字符"/>
    <w:basedOn w:val="23"/>
    <w:link w:val="14"/>
    <w:qFormat/>
    <w:uiPriority w:val="99"/>
    <w:rPr>
      <w:rFonts w:ascii="Arial Narrow" w:hAnsi="Arial Narrow" w:eastAsia="宋体" w:cs="Times New Roman"/>
      <w:kern w:val="0"/>
      <w:szCs w:val="21"/>
      <w:lang w:val="zh-CN" w:eastAsia="zh-CN"/>
    </w:rPr>
  </w:style>
  <w:style w:type="paragraph" w:customStyle="1" w:styleId="47">
    <w:name w:val="z-窗体顶端1"/>
    <w:basedOn w:val="1"/>
    <w:next w:val="1"/>
    <w:link w:val="48"/>
    <w:semiHidden/>
    <w:qFormat/>
    <w:uiPriority w:val="99"/>
    <w:pPr>
      <w:widowControl/>
      <w:pBdr>
        <w:bottom w:val="single" w:color="auto" w:sz="6" w:space="1"/>
      </w:pBdr>
      <w:jc w:val="center"/>
    </w:pPr>
    <w:rPr>
      <w:rFonts w:ascii="Arial" w:hAnsi="Arial" w:eastAsia="宋体" w:cs="Times New Roman"/>
      <w:vanish/>
      <w:kern w:val="0"/>
      <w:sz w:val="16"/>
      <w:szCs w:val="16"/>
      <w:lang w:val="zh-CN"/>
    </w:rPr>
  </w:style>
  <w:style w:type="character" w:customStyle="1" w:styleId="48">
    <w:name w:val="z-窗体顶端 Char"/>
    <w:basedOn w:val="23"/>
    <w:link w:val="47"/>
    <w:semiHidden/>
    <w:qFormat/>
    <w:uiPriority w:val="99"/>
    <w:rPr>
      <w:rFonts w:ascii="Arial" w:hAnsi="Arial" w:eastAsia="宋体" w:cs="Times New Roman"/>
      <w:vanish/>
      <w:kern w:val="0"/>
      <w:sz w:val="16"/>
      <w:szCs w:val="16"/>
      <w:lang w:val="zh-CN" w:eastAsia="zh-CN"/>
    </w:rPr>
  </w:style>
  <w:style w:type="paragraph" w:customStyle="1" w:styleId="49">
    <w:name w:val="z-窗体底端1"/>
    <w:basedOn w:val="1"/>
    <w:next w:val="1"/>
    <w:link w:val="50"/>
    <w:semiHidden/>
    <w:qFormat/>
    <w:uiPriority w:val="99"/>
    <w:pPr>
      <w:widowControl/>
      <w:pBdr>
        <w:top w:val="single" w:color="auto" w:sz="6" w:space="1"/>
      </w:pBdr>
      <w:jc w:val="center"/>
    </w:pPr>
    <w:rPr>
      <w:rFonts w:ascii="Arial" w:hAnsi="Arial" w:eastAsia="宋体" w:cs="Times New Roman"/>
      <w:vanish/>
      <w:kern w:val="0"/>
      <w:sz w:val="16"/>
      <w:szCs w:val="16"/>
      <w:lang w:val="zh-CN"/>
    </w:rPr>
  </w:style>
  <w:style w:type="character" w:customStyle="1" w:styleId="50">
    <w:name w:val="z-窗体底端 Char"/>
    <w:basedOn w:val="23"/>
    <w:link w:val="49"/>
    <w:semiHidden/>
    <w:qFormat/>
    <w:uiPriority w:val="99"/>
    <w:rPr>
      <w:rFonts w:ascii="Arial" w:hAnsi="Arial" w:eastAsia="宋体" w:cs="Times New Roman"/>
      <w:vanish/>
      <w:kern w:val="0"/>
      <w:sz w:val="16"/>
      <w:szCs w:val="16"/>
      <w:lang w:val="zh-CN" w:eastAsia="zh-CN"/>
    </w:rPr>
  </w:style>
  <w:style w:type="character" w:customStyle="1" w:styleId="51">
    <w:name w:val="text-warning"/>
    <w:qFormat/>
    <w:uiPriority w:val="99"/>
    <w:rPr>
      <w:rFonts w:cs="Times New Roman"/>
    </w:rPr>
  </w:style>
  <w:style w:type="character" w:customStyle="1" w:styleId="52">
    <w:name w:val="文档结构图 字符"/>
    <w:basedOn w:val="23"/>
    <w:link w:val="9"/>
    <w:semiHidden/>
    <w:qFormat/>
    <w:uiPriority w:val="99"/>
    <w:rPr>
      <w:rFonts w:ascii="Times New Roman" w:hAnsi="Times New Roman" w:eastAsia="宋体" w:cs="Times New Roman"/>
      <w:kern w:val="0"/>
      <w:sz w:val="2"/>
      <w:szCs w:val="20"/>
      <w:shd w:val="clear" w:color="auto" w:fill="000080"/>
      <w:lang w:val="zh-CN" w:eastAsia="zh-CN"/>
    </w:rPr>
  </w:style>
  <w:style w:type="character" w:customStyle="1" w:styleId="53">
    <w:name w:val="Char Char13"/>
    <w:qFormat/>
    <w:locked/>
    <w:uiPriority w:val="99"/>
    <w:rPr>
      <w:rFonts w:ascii="Verdana" w:hAnsi="Verdana" w:eastAsia="宋体"/>
      <w:kern w:val="2"/>
      <w:sz w:val="24"/>
      <w:lang w:val="en-US" w:eastAsia="zh-CN"/>
    </w:rPr>
  </w:style>
  <w:style w:type="character" w:customStyle="1" w:styleId="54">
    <w:name w:val="正文缩进 字符"/>
    <w:link w:val="8"/>
    <w:qFormat/>
    <w:locked/>
    <w:uiPriority w:val="99"/>
    <w:rPr>
      <w:rFonts w:ascii="Calibri" w:hAnsi="Calibri" w:eastAsia="宋体" w:cs="Times New Roman"/>
    </w:rPr>
  </w:style>
  <w:style w:type="paragraph" w:customStyle="1" w:styleId="55">
    <w:name w:val="Char Char10"/>
    <w:basedOn w:val="9"/>
    <w:qFormat/>
    <w:uiPriority w:val="0"/>
    <w:rPr>
      <w:szCs w:val="24"/>
    </w:rPr>
  </w:style>
  <w:style w:type="paragraph" w:customStyle="1" w:styleId="56">
    <w:name w:val="Char41"/>
    <w:basedOn w:val="1"/>
    <w:qFormat/>
    <w:uiPriority w:val="0"/>
    <w:rPr>
      <w:rFonts w:ascii="Dotum" w:hAnsi="Dotum" w:eastAsia="宋体" w:cs="HYg2gj"/>
      <w:sz w:val="24"/>
      <w:szCs w:val="20"/>
    </w:rPr>
  </w:style>
  <w:style w:type="paragraph" w:customStyle="1" w:styleId="57">
    <w:name w:val="修订1"/>
    <w:hidden/>
    <w:semiHidden/>
    <w:qFormat/>
    <w:uiPriority w:val="99"/>
    <w:rPr>
      <w:rFonts w:ascii="Calibri" w:hAnsi="Calibri" w:eastAsia="宋体" w:cs="Times New Roman"/>
      <w:kern w:val="2"/>
      <w:sz w:val="21"/>
      <w:szCs w:val="22"/>
      <w:lang w:val="en-US" w:eastAsia="zh-CN" w:bidi="ar-SA"/>
    </w:rPr>
  </w:style>
  <w:style w:type="character" w:customStyle="1" w:styleId="58">
    <w:name w:val="标题 3 字符"/>
    <w:basedOn w:val="23"/>
    <w:link w:val="4"/>
    <w:qFormat/>
    <w:uiPriority w:val="9"/>
    <w:rPr>
      <w:rFonts w:ascii="宋体" w:hAnsi="宋体" w:eastAsia="宋体" w:cs="宋体"/>
      <w:b/>
      <w:bCs/>
      <w:kern w:val="0"/>
      <w:sz w:val="27"/>
      <w:szCs w:val="27"/>
    </w:rPr>
  </w:style>
  <w:style w:type="character" w:customStyle="1" w:styleId="59">
    <w:name w:val="标题 6 字符"/>
    <w:basedOn w:val="23"/>
    <w:link w:val="7"/>
    <w:qFormat/>
    <w:uiPriority w:val="9"/>
    <w:rPr>
      <w:rFonts w:ascii="宋体" w:hAnsi="宋体" w:eastAsia="宋体" w:cs="宋体"/>
      <w:b/>
      <w:bCs/>
      <w:kern w:val="0"/>
      <w:sz w:val="15"/>
      <w:szCs w:val="15"/>
    </w:rPr>
  </w:style>
  <w:style w:type="character" w:customStyle="1" w:styleId="60">
    <w:name w:val="customize__projectname"/>
    <w:basedOn w:val="23"/>
    <w:qFormat/>
    <w:uiPriority w:val="0"/>
  </w:style>
  <w:style w:type="character" w:customStyle="1" w:styleId="61">
    <w:name w:val="customize_recordno"/>
    <w:basedOn w:val="23"/>
    <w:qFormat/>
    <w:uiPriority w:val="0"/>
  </w:style>
  <w:style w:type="character" w:customStyle="1" w:styleId="62">
    <w:name w:val="customize_project_code"/>
    <w:basedOn w:val="23"/>
    <w:qFormat/>
    <w:uiPriority w:val="0"/>
  </w:style>
  <w:style w:type="character" w:customStyle="1" w:styleId="63">
    <w:name w:val="customize_cgr"/>
    <w:basedOn w:val="23"/>
    <w:qFormat/>
    <w:uiPriority w:val="0"/>
  </w:style>
  <w:style w:type="character" w:customStyle="1" w:styleId="64">
    <w:name w:val="customize_agent"/>
    <w:basedOn w:val="23"/>
    <w:qFormat/>
    <w:uiPriority w:val="0"/>
  </w:style>
  <w:style w:type="character" w:customStyle="1" w:styleId="65">
    <w:name w:val="customize_cgrdz"/>
    <w:basedOn w:val="23"/>
    <w:qFormat/>
    <w:uiPriority w:val="0"/>
  </w:style>
  <w:style w:type="character" w:customStyle="1" w:styleId="66">
    <w:name w:val="customize_cgrdh"/>
    <w:basedOn w:val="23"/>
    <w:qFormat/>
    <w:uiPriority w:val="0"/>
  </w:style>
  <w:style w:type="character" w:customStyle="1" w:styleId="67">
    <w:name w:val="customize_agentadd"/>
    <w:basedOn w:val="23"/>
    <w:qFormat/>
    <w:uiPriority w:val="0"/>
  </w:style>
  <w:style w:type="character" w:customStyle="1" w:styleId="68">
    <w:name w:val="customize_agenttel"/>
    <w:basedOn w:val="23"/>
    <w:qFormat/>
    <w:uiPriority w:val="0"/>
  </w:style>
  <w:style w:type="character" w:customStyle="1" w:styleId="69">
    <w:name w:val="editlist"/>
    <w:basedOn w:val="23"/>
    <w:qFormat/>
    <w:uiPriority w:val="0"/>
  </w:style>
  <w:style w:type="character" w:customStyle="1" w:styleId="70">
    <w:name w:val="edittexttarea"/>
    <w:basedOn w:val="23"/>
    <w:qFormat/>
    <w:uiPriority w:val="0"/>
  </w:style>
  <w:style w:type="character" w:customStyle="1" w:styleId="71">
    <w:name w:val="editinput"/>
    <w:basedOn w:val="23"/>
    <w:qFormat/>
    <w:uiPriority w:val="0"/>
  </w:style>
  <w:style w:type="paragraph" w:styleId="72">
    <w:name w:val="List Paragraph"/>
    <w:basedOn w:val="1"/>
    <w:unhideWhenUsed/>
    <w:qFormat/>
    <w:uiPriority w:val="99"/>
    <w:pPr>
      <w:ind w:firstLine="420" w:firstLineChars="200"/>
    </w:pPr>
  </w:style>
  <w:style w:type="paragraph" w:customStyle="1" w:styleId="7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13</Pages>
  <Words>8827</Words>
  <Characters>9344</Characters>
  <Lines>60</Lines>
  <Paragraphs>17</Paragraphs>
  <TotalTime>2</TotalTime>
  <ScaleCrop>false</ScaleCrop>
  <LinksUpToDate>false</LinksUpToDate>
  <CharactersWithSpaces>9363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2022-08-23T18:49:00Z</dcterms:created>
  <dc:creator>李萍</dc:creator>
  <cp:lastModifiedBy>树莓</cp:lastModifiedBy>
  <cp:lastPrinted>2022-03-29T17:10:00Z</cp:lastPrinted>
  <dcterms:modified xsi:type="dcterms:W3CDTF">2026-07-24T08:24:48Z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30BA625E628C47309C99DAD707AB044B</vt:lpwstr>
  </property>
  <property fmtid="{D5CDD505-2E9C-101B-9397-08002B2CF9AE}" pid="4" name="KSOTemplateDocerSaveRecord">
    <vt:lpwstr>eyJoZGlkIjoiYmMwM2EwODI4YTgxYTFmNTJjZTY0NTRjOWQ5ZDg2NDEiLCJ1c2VySWQiOiI3MTgxNzQxNTcifQ==</vt:lpwstr>
  </property>
</Properties>
</file>