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760DE">
      <w:pPr>
        <w:jc w:val="center"/>
        <w:rPr>
          <w:rFonts w:hint="eastAsia" w:ascii="宋体" w:hAnsi="宋体" w:eastAsia="宋体" w:cs="Times New Roman"/>
          <w:b/>
          <w:bCs/>
          <w:sz w:val="72"/>
          <w:szCs w:val="72"/>
          <w:lang w:eastAsia="zh-CN"/>
        </w:rPr>
      </w:pPr>
      <w:r>
        <w:rPr>
          <w:rFonts w:hint="eastAsia" w:ascii="宋体" w:hAnsi="宋体" w:eastAsia="宋体" w:cs="Times New Roman"/>
          <w:b/>
          <w:bCs/>
          <w:sz w:val="72"/>
          <w:szCs w:val="72"/>
          <w:lang w:eastAsia="zh-CN"/>
        </w:rPr>
        <w:t>福田区卫生健康局中央监护系统（1拖10）批量采购</w:t>
      </w:r>
    </w:p>
    <w:p w14:paraId="32BC43BC">
      <w:pPr>
        <w:jc w:val="center"/>
        <w:rPr>
          <w:rFonts w:hint="eastAsia" w:ascii="宋体" w:hAnsi="宋体" w:eastAsia="宋体" w:cs="Times New Roman"/>
          <w:b/>
          <w:bCs/>
          <w:sz w:val="72"/>
          <w:szCs w:val="72"/>
          <w:lang w:eastAsia="zh-CN"/>
        </w:rPr>
      </w:pPr>
    </w:p>
    <w:p w14:paraId="002F4C35">
      <w:pPr>
        <w:jc w:val="center"/>
        <w:rPr>
          <w:rFonts w:hint="eastAsia" w:ascii="宋体" w:hAnsi="宋体" w:eastAsia="宋体" w:cs="Times New Roman"/>
          <w:b/>
          <w:bCs/>
          <w:sz w:val="72"/>
          <w:szCs w:val="72"/>
          <w:lang w:eastAsia="zh-CN"/>
        </w:rPr>
      </w:pPr>
    </w:p>
    <w:p w14:paraId="715F97EA">
      <w:pPr>
        <w:jc w:val="center"/>
        <w:rPr>
          <w:rFonts w:ascii="宋体" w:hAnsi="宋体" w:eastAsia="宋体" w:cs="Times New Roman"/>
          <w:b/>
          <w:bCs/>
          <w:sz w:val="72"/>
          <w:szCs w:val="72"/>
        </w:rPr>
      </w:pPr>
    </w:p>
    <w:p w14:paraId="17988B35">
      <w:pPr>
        <w:jc w:val="center"/>
        <w:outlineLvl w:val="9"/>
        <w:rPr>
          <w:rFonts w:ascii="宋体" w:hAnsi="宋体" w:eastAsia="宋体" w:cs="Times New Roman"/>
          <w:b/>
          <w:bCs/>
          <w:sz w:val="72"/>
          <w:szCs w:val="72"/>
        </w:rPr>
      </w:pPr>
      <w:r>
        <w:rPr>
          <w:rFonts w:hint="eastAsia" w:ascii="宋体" w:hAnsi="宋体" w:eastAsia="宋体" w:cs="Times New Roman"/>
          <w:b/>
          <w:bCs/>
          <w:sz w:val="72"/>
          <w:szCs w:val="72"/>
        </w:rPr>
        <w:t>采购需求书</w:t>
      </w:r>
    </w:p>
    <w:p w14:paraId="3AB3106D">
      <w:pPr>
        <w:jc w:val="center"/>
        <w:rPr>
          <w:rFonts w:ascii="宋体" w:hAnsi="宋体" w:eastAsia="宋体" w:cs="Times New Roman"/>
          <w:b/>
          <w:bCs/>
          <w:sz w:val="72"/>
          <w:szCs w:val="72"/>
        </w:rPr>
      </w:pPr>
      <w:r>
        <w:rPr>
          <w:rFonts w:hint="eastAsia" w:ascii="宋体" w:hAnsi="宋体" w:eastAsia="宋体" w:cs="Times New Roman"/>
          <w:b/>
          <w:bCs/>
          <w:sz w:val="72"/>
          <w:szCs w:val="72"/>
        </w:rPr>
        <w:t>（征求意见）</w:t>
      </w:r>
    </w:p>
    <w:p w14:paraId="1FA0CBAE">
      <w:pPr>
        <w:pStyle w:val="11"/>
        <w:rPr>
          <w:rFonts w:ascii="宋体" w:hAnsi="宋体" w:eastAsia="宋体" w:cs="Times New Roman"/>
          <w:b/>
          <w:bCs/>
          <w:sz w:val="72"/>
          <w:szCs w:val="72"/>
        </w:rPr>
      </w:pPr>
    </w:p>
    <w:p w14:paraId="03D1EE73">
      <w:pPr>
        <w:pStyle w:val="12"/>
        <w:rPr>
          <w:rFonts w:ascii="宋体" w:hAnsi="宋体" w:eastAsia="宋体" w:cs="Times New Roman"/>
          <w:b/>
          <w:bCs/>
          <w:sz w:val="72"/>
          <w:szCs w:val="72"/>
        </w:rPr>
      </w:pPr>
    </w:p>
    <w:p w14:paraId="7516CDA5">
      <w:pPr>
        <w:pStyle w:val="11"/>
        <w:rPr>
          <w:rFonts w:ascii="宋体" w:hAnsi="宋体" w:eastAsia="宋体" w:cs="Times New Roman"/>
          <w:b/>
          <w:bCs/>
          <w:sz w:val="72"/>
          <w:szCs w:val="72"/>
        </w:rPr>
      </w:pPr>
    </w:p>
    <w:p w14:paraId="44C5C30C">
      <w:pPr>
        <w:jc w:val="center"/>
        <w:rPr>
          <w:rFonts w:ascii="宋体" w:hAnsi="宋体" w:eastAsia="宋体" w:cs="Times New Roman"/>
          <w:b/>
          <w:bCs/>
          <w:sz w:val="72"/>
          <w:szCs w:val="72"/>
        </w:rPr>
      </w:pPr>
    </w:p>
    <w:p w14:paraId="09B69C53">
      <w:pPr>
        <w:jc w:val="center"/>
        <w:rPr>
          <w:rFonts w:ascii="宋体" w:hAnsi="宋体" w:eastAsia="宋体" w:cs="Times New Roman"/>
          <w:b/>
          <w:bCs/>
          <w:sz w:val="72"/>
          <w:szCs w:val="72"/>
        </w:rPr>
      </w:pPr>
    </w:p>
    <w:p w14:paraId="3C3A4F9F">
      <w:pPr>
        <w:jc w:val="center"/>
        <w:rPr>
          <w:rFonts w:ascii="宋体" w:hAnsi="宋体" w:eastAsia="宋体" w:cs="Times New Roman"/>
          <w:b/>
          <w:bCs/>
          <w:sz w:val="28"/>
          <w:szCs w:val="28"/>
        </w:rPr>
      </w:pPr>
      <w:r>
        <w:rPr>
          <w:rFonts w:hint="eastAsia" w:ascii="宋体" w:hAnsi="宋体" w:eastAsia="宋体" w:cs="Times New Roman"/>
          <w:b/>
          <w:bCs/>
          <w:sz w:val="28"/>
          <w:szCs w:val="28"/>
        </w:rPr>
        <w:t>（此版本仅为需求调查使用，最终本项目采购内容以</w:t>
      </w:r>
      <w:r>
        <w:rPr>
          <w:rFonts w:hint="eastAsia" w:ascii="宋体" w:hAnsi="宋体" w:eastAsia="宋体" w:cs="Times New Roman"/>
          <w:b/>
          <w:bCs/>
          <w:sz w:val="28"/>
          <w:szCs w:val="28"/>
          <w:lang w:eastAsia="zh-CN"/>
        </w:rPr>
        <w:t>谈判文件</w:t>
      </w:r>
      <w:r>
        <w:rPr>
          <w:rFonts w:hint="eastAsia" w:ascii="宋体" w:hAnsi="宋体" w:eastAsia="宋体" w:cs="Times New Roman"/>
          <w:b/>
          <w:bCs/>
          <w:sz w:val="28"/>
          <w:szCs w:val="28"/>
        </w:rPr>
        <w:t>为准）</w:t>
      </w:r>
    </w:p>
    <w:p w14:paraId="42A06BEA">
      <w:pPr>
        <w:widowControl/>
        <w:spacing w:line="500" w:lineRule="exact"/>
        <w:outlineLvl w:val="0"/>
        <w:rPr>
          <w:rFonts w:ascii="宋体" w:hAnsi="宋体" w:eastAsia="宋体" w:cs="微软雅黑"/>
          <w:color w:val="000000"/>
          <w:kern w:val="0"/>
          <w:sz w:val="36"/>
          <w:szCs w:val="36"/>
          <w:lang w:bidi="ar"/>
        </w:rPr>
      </w:pPr>
      <w:r>
        <w:rPr>
          <w:rFonts w:ascii="宋体" w:hAnsi="宋体" w:eastAsia="宋体"/>
          <w:b/>
          <w:bCs/>
          <w:sz w:val="32"/>
          <w:szCs w:val="32"/>
        </w:rPr>
        <w:br w:type="page"/>
      </w:r>
      <w:r>
        <w:rPr>
          <w:rFonts w:hint="eastAsia" w:ascii="宋体" w:hAnsi="宋体" w:eastAsia="宋体" w:cs="微软雅黑"/>
          <w:color w:val="000000"/>
          <w:kern w:val="0"/>
          <w:sz w:val="36"/>
          <w:szCs w:val="36"/>
          <w:lang w:bidi="ar"/>
        </w:rPr>
        <w:t>项目概况</w:t>
      </w:r>
    </w:p>
    <w:p w14:paraId="0FEF9CD0">
      <w:pPr>
        <w:widowControl/>
        <w:spacing w:before="100" w:beforeAutospacing="1" w:after="100" w:afterAutospacing="1" w:line="405" w:lineRule="atLeast"/>
        <w:ind w:firstLine="420" w:firstLineChars="200"/>
        <w:jc w:val="left"/>
        <w:rPr>
          <w:rFonts w:ascii="宋体" w:hAnsi="宋体" w:eastAsia="宋体" w:cs="宋体"/>
          <w:kern w:val="0"/>
          <w:szCs w:val="21"/>
        </w:rPr>
      </w:pPr>
      <w:r>
        <w:rPr>
          <w:rFonts w:hint="eastAsia" w:ascii="宋体" w:hAnsi="宋体" w:eastAsia="宋体" w:cs="宋体"/>
          <w:kern w:val="0"/>
          <w:szCs w:val="21"/>
          <w:highlight w:val="none"/>
        </w:rPr>
        <w:t>本项目拟采购</w:t>
      </w:r>
      <w:r>
        <w:rPr>
          <w:rFonts w:hint="eastAsia" w:ascii="宋体" w:hAnsi="宋体" w:eastAsia="宋体" w:cs="宋体"/>
          <w:kern w:val="0"/>
          <w:szCs w:val="21"/>
          <w:highlight w:val="none"/>
          <w:lang w:eastAsia="zh-CN"/>
        </w:rPr>
        <w:t>中央监护系统（1拖10）</w:t>
      </w:r>
      <w:r>
        <w:rPr>
          <w:rFonts w:hint="eastAsia" w:ascii="宋体" w:hAnsi="宋体" w:eastAsia="宋体" w:cs="宋体"/>
          <w:kern w:val="0"/>
          <w:szCs w:val="21"/>
          <w:highlight w:val="none"/>
        </w:rPr>
        <w:t>，具体配</w:t>
      </w:r>
      <w:r>
        <w:rPr>
          <w:rFonts w:hint="eastAsia" w:ascii="宋体" w:hAnsi="宋体" w:eastAsia="宋体" w:cs="宋体"/>
          <w:kern w:val="0"/>
          <w:szCs w:val="21"/>
        </w:rPr>
        <w:t>置及要求详见采购需求。</w:t>
      </w:r>
    </w:p>
    <w:p w14:paraId="0C191AAE">
      <w:pPr>
        <w:widowControl/>
        <w:spacing w:line="500" w:lineRule="exact"/>
        <w:outlineLvl w:val="0"/>
        <w:rPr>
          <w:rFonts w:ascii="宋体" w:hAnsi="宋体" w:eastAsia="宋体" w:cs="微软雅黑"/>
          <w:color w:val="000000"/>
          <w:kern w:val="0"/>
          <w:sz w:val="36"/>
          <w:szCs w:val="36"/>
          <w:lang w:bidi="ar"/>
        </w:rPr>
      </w:pPr>
      <w:r>
        <w:rPr>
          <w:rFonts w:ascii="宋体" w:hAnsi="宋体" w:eastAsia="宋体" w:cs="微软雅黑"/>
          <w:color w:val="000000"/>
          <w:kern w:val="0"/>
          <w:sz w:val="36"/>
          <w:szCs w:val="36"/>
          <w:lang w:bidi="ar"/>
        </w:rPr>
        <w:t>采购需求</w:t>
      </w:r>
    </w:p>
    <w:p w14:paraId="3CF090F1">
      <w:pPr>
        <w:widowControl/>
        <w:spacing w:line="500" w:lineRule="exact"/>
        <w:rPr>
          <w:rFonts w:ascii="宋体" w:hAnsi="宋体" w:eastAsia="宋体" w:cs="微软雅黑"/>
          <w:color w:val="000000"/>
          <w:kern w:val="0"/>
          <w:sz w:val="36"/>
          <w:szCs w:val="36"/>
          <w:lang w:bidi="ar"/>
        </w:rPr>
      </w:pPr>
    </w:p>
    <w:p w14:paraId="5C8D9A1F">
      <w:pPr>
        <w:pStyle w:val="71"/>
        <w:widowControl/>
        <w:numPr>
          <w:ilvl w:val="0"/>
          <w:numId w:val="0"/>
        </w:numPr>
        <w:spacing w:line="500" w:lineRule="exact"/>
        <w:ind w:left="1280" w:hanging="720" w:firstLineChars="0"/>
        <w:outlineLvl w:val="1"/>
        <w:rPr>
          <w:rFonts w:ascii="宋体" w:hAnsi="宋体" w:eastAsia="宋体" w:cs="微软雅黑"/>
          <w:color w:val="000000"/>
          <w:kern w:val="0"/>
          <w:sz w:val="36"/>
          <w:szCs w:val="36"/>
          <w:lang w:bidi="ar"/>
        </w:rPr>
      </w:pPr>
      <w:r>
        <w:rPr>
          <w:rFonts w:hint="default" w:ascii="宋体" w:hAnsi="宋体" w:eastAsia="宋体" w:cs="微软雅黑"/>
          <w:color w:val="000000"/>
          <w:kern w:val="0"/>
          <w:sz w:val="36"/>
          <w:szCs w:val="36"/>
          <w:lang w:val="en-US" w:eastAsia="zh-CN" w:bidi="ar"/>
        </w:rPr>
        <w:t>一、</w:t>
      </w:r>
      <w:r>
        <w:rPr>
          <w:rFonts w:hint="eastAsia" w:ascii="宋体" w:hAnsi="宋体" w:eastAsia="宋体" w:cs="微软雅黑"/>
          <w:color w:val="000000"/>
          <w:kern w:val="0"/>
          <w:sz w:val="36"/>
          <w:szCs w:val="36"/>
          <w:lang w:bidi="ar"/>
        </w:rPr>
        <w:t>资格条件</w:t>
      </w:r>
    </w:p>
    <w:p w14:paraId="4A243AEA">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w:t>
      </w:r>
      <w:bookmarkStart w:id="0" w:name="_Hlk72162904"/>
      <w:r>
        <w:rPr>
          <w:rFonts w:hint="eastAsia" w:ascii="宋体" w:hAnsi="宋体" w:eastAsia="宋体" w:cs="宋体"/>
          <w:kern w:val="0"/>
          <w:szCs w:val="21"/>
        </w:rPr>
        <w:t>具有独立法人资格或是具有独立承担民事责任的能力的</w:t>
      </w:r>
      <w:r>
        <w:rPr>
          <w:rFonts w:hint="eastAsia" w:ascii="宋体" w:hAnsi="宋体" w:eastAsia="宋体" w:cs="宋体"/>
          <w:kern w:val="0"/>
          <w:szCs w:val="21"/>
          <w:lang w:eastAsia="zh-CN"/>
        </w:rPr>
        <w:t>其他组织</w:t>
      </w:r>
      <w:r>
        <w:rPr>
          <w:rFonts w:hint="eastAsia" w:ascii="宋体" w:hAnsi="宋体" w:eastAsia="宋体" w:cs="宋体"/>
          <w:kern w:val="0"/>
          <w:szCs w:val="21"/>
        </w:rPr>
        <w:t>（提供营业执照扫描件或事业单位法人证书等法人证明材料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eastAsia="宋体" w:cs="宋体"/>
          <w:kern w:val="0"/>
          <w:szCs w:val="21"/>
          <w:lang w:eastAsia="zh-CN"/>
        </w:rPr>
        <w:t>；</w:t>
      </w:r>
      <w:bookmarkEnd w:id="0"/>
    </w:p>
    <w:p w14:paraId="598573D1">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2.本项目不接受联合体投标；不允许分包、转包</w:t>
      </w:r>
      <w:r>
        <w:rPr>
          <w:rFonts w:hint="eastAsia" w:ascii="宋体" w:hAnsi="宋体" w:eastAsia="宋体" w:cs="宋体"/>
          <w:kern w:val="0"/>
          <w:szCs w:val="21"/>
          <w:lang w:eastAsia="zh-CN"/>
        </w:rPr>
        <w:t>；</w:t>
      </w:r>
      <w:r>
        <w:rPr>
          <w:rFonts w:hint="eastAsia" w:ascii="宋体" w:hAnsi="宋体" w:eastAsia="宋体" w:cs="宋体"/>
          <w:kern w:val="0"/>
          <w:szCs w:val="21"/>
        </w:rPr>
        <w:t>不接受投标人选用进口产品参与投标（由供应商在《政府采购投标及履约承诺函》中作出声明）；</w:t>
      </w:r>
    </w:p>
    <w:p w14:paraId="1266CAC2">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w:t>
      </w:r>
      <w:r>
        <w:rPr>
          <w:rFonts w:hint="eastAsia" w:ascii="宋体" w:hAnsi="宋体" w:eastAsia="宋体" w:cs="宋体"/>
          <w:kern w:val="0"/>
          <w:szCs w:val="21"/>
          <w:lang w:val="en-US" w:eastAsia="zh-CN"/>
        </w:rPr>
        <w:t>参与本项目投标前三年内，在经营活动中没有重大违法记录；</w:t>
      </w:r>
      <w:r>
        <w:rPr>
          <w:rFonts w:hint="eastAsia" w:ascii="宋体" w:hAnsi="宋体" w:eastAsia="宋体" w:cs="宋体"/>
          <w:kern w:val="0"/>
          <w:szCs w:val="21"/>
        </w:rPr>
        <w:t>参与本项目政府采购活动时不存在被有关部门禁止参与政府采购活动且在有效期内的情况（由供应商在《政府采购投标及履约承诺函》中作出声明）；</w:t>
      </w:r>
    </w:p>
    <w:p w14:paraId="0B07D80F">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4.具备《中华人民共和国政府采购法》第二十二条</w:t>
      </w:r>
      <w:r>
        <w:rPr>
          <w:rFonts w:hint="eastAsia" w:ascii="宋体" w:hAnsi="宋体" w:eastAsia="宋体" w:cs="宋体"/>
          <w:kern w:val="0"/>
          <w:szCs w:val="21"/>
          <w:lang w:val="en-US" w:eastAsia="zh-CN"/>
        </w:rPr>
        <w:t>第一款</w:t>
      </w:r>
      <w:r>
        <w:rPr>
          <w:rFonts w:hint="eastAsia" w:ascii="宋体" w:hAnsi="宋体" w:eastAsia="宋体" w:cs="宋体"/>
          <w:kern w:val="0"/>
          <w:szCs w:val="21"/>
        </w:rPr>
        <w:t>的条件（由供应商在《政府采购投标及履约承诺函》中作出声明）；</w:t>
      </w:r>
    </w:p>
    <w:p w14:paraId="69EEBF6C">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5.未被列入失信被执行人、重大税收违法失信主体、政府采购严重违法失信行为记录名单（由供应商在《政府采购投标及履约承诺函》中作出声明）。</w:t>
      </w:r>
    </w:p>
    <w:p w14:paraId="63D9AF3E">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6.不存在《深圳市财政局政府采购供应商信用信息管理办法》（深财规〔2023〕3号）列明的严重违法失信行为</w:t>
      </w:r>
      <w:r>
        <w:rPr>
          <w:rFonts w:hint="eastAsia" w:ascii="宋体" w:hAnsi="宋体" w:eastAsia="宋体" w:cs="宋体"/>
          <w:kern w:val="0"/>
          <w:szCs w:val="21"/>
        </w:rPr>
        <w:t>（由供应商在《政府采购投标及履约承诺函》中作出声明）</w:t>
      </w:r>
      <w:r>
        <w:rPr>
          <w:rFonts w:hint="eastAsia" w:ascii="宋体" w:hAnsi="宋体" w:eastAsia="宋体" w:cs="宋体"/>
          <w:kern w:val="0"/>
          <w:szCs w:val="21"/>
          <w:lang w:val="en-US" w:eastAsia="zh-CN"/>
        </w:rPr>
        <w:t>。</w:t>
      </w:r>
    </w:p>
    <w:p w14:paraId="2E9AD830">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14:paraId="634CCBD8">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bookmarkStart w:id="1" w:name="OLE_LINK8"/>
      <w:r>
        <w:rPr>
          <w:rFonts w:hint="eastAsia" w:ascii="宋体" w:hAnsi="宋体" w:eastAsia="宋体" w:cs="宋体"/>
          <w:kern w:val="0"/>
          <w:szCs w:val="21"/>
          <w:lang w:val="en-US" w:eastAsia="zh-CN"/>
        </w:rPr>
        <w:t>8.</w:t>
      </w:r>
      <w:bookmarkStart w:id="2" w:name="OLE_LINK22"/>
      <w:bookmarkStart w:id="3" w:name="OLE_LINK3"/>
      <w:r>
        <w:rPr>
          <w:rFonts w:hint="eastAsia" w:ascii="宋体" w:hAnsi="宋体" w:eastAsia="宋体" w:cs="宋体"/>
          <w:kern w:val="0"/>
          <w:szCs w:val="21"/>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w:t>
      </w:r>
      <w:bookmarkStart w:id="4" w:name="OLE_LINK9"/>
      <w:r>
        <w:rPr>
          <w:rFonts w:hint="eastAsia" w:ascii="宋体" w:hAnsi="宋体" w:eastAsia="宋体" w:cs="宋体"/>
          <w:kern w:val="0"/>
          <w:szCs w:val="21"/>
          <w:lang w:val="en-US" w:eastAsia="zh-CN"/>
        </w:rPr>
        <w:t>写《供应商基本情况表</w:t>
      </w:r>
      <w:bookmarkEnd w:id="4"/>
      <w:r>
        <w:rPr>
          <w:rFonts w:hint="eastAsia" w:ascii="宋体" w:hAnsi="宋体" w:eastAsia="宋体" w:cs="宋体"/>
          <w:kern w:val="0"/>
          <w:szCs w:val="21"/>
          <w:lang w:val="en-US" w:eastAsia="zh-CN"/>
        </w:rPr>
        <w:t>》相关信息）。</w:t>
      </w:r>
      <w:bookmarkEnd w:id="1"/>
      <w:bookmarkEnd w:id="2"/>
    </w:p>
    <w:bookmarkEnd w:id="3"/>
    <w:p w14:paraId="7640263F">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9.本项目是否专门面向中小微企业采购：否。</w:t>
      </w:r>
    </w:p>
    <w:p w14:paraId="6D6569A9">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10.①投标人若为生产企业：所投产品为第二、三类医疗器械的，提供监督管理部门签发的涵盖所投报医疗器械的《医疗器械生产许可证》(有效期内)扫描件；</w:t>
      </w:r>
    </w:p>
    <w:p w14:paraId="309BF308">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②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p w14:paraId="47EFC99D">
      <w:pPr>
        <w:pStyle w:val="71"/>
        <w:widowControl/>
        <w:numPr>
          <w:ilvl w:val="0"/>
          <w:numId w:val="0"/>
        </w:numPr>
        <w:spacing w:before="0" w:beforeAutospacing="0" w:after="0" w:afterAutospacing="0" w:line="500" w:lineRule="exact"/>
        <w:ind w:left="1280" w:hanging="720" w:firstLineChars="0"/>
        <w:jc w:val="left"/>
        <w:outlineLvl w:val="1"/>
        <w:rPr>
          <w:rFonts w:hint="default" w:ascii="宋体" w:hAnsi="宋体" w:eastAsia="宋体" w:cs="微软雅黑"/>
          <w:color w:val="000000"/>
          <w:kern w:val="0"/>
          <w:sz w:val="36"/>
          <w:szCs w:val="36"/>
          <w:lang w:bidi="ar"/>
        </w:rPr>
      </w:pPr>
      <w:r>
        <w:rPr>
          <w:rFonts w:hint="default" w:ascii="宋体" w:hAnsi="宋体" w:eastAsia="宋体" w:cs="微软雅黑"/>
          <w:color w:val="000000"/>
          <w:kern w:val="0"/>
          <w:sz w:val="36"/>
          <w:szCs w:val="36"/>
          <w:lang w:val="en-US" w:eastAsia="zh-CN" w:bidi="ar"/>
        </w:rPr>
        <w:t>二、</w:t>
      </w:r>
      <w:r>
        <w:rPr>
          <w:rFonts w:hint="default" w:ascii="宋体" w:hAnsi="宋体" w:eastAsia="宋体" w:cs="微软雅黑"/>
          <w:color w:val="000000"/>
          <w:kern w:val="0"/>
          <w:sz w:val="36"/>
          <w:szCs w:val="36"/>
          <w:lang w:bidi="ar"/>
        </w:rPr>
        <w:t>采购清单</w:t>
      </w:r>
    </w:p>
    <w:p w14:paraId="40D45641">
      <w:pPr>
        <w:pStyle w:val="71"/>
        <w:widowControl/>
        <w:numPr>
          <w:ilvl w:val="0"/>
          <w:numId w:val="0"/>
        </w:numPr>
        <w:spacing w:before="0" w:beforeAutospacing="0" w:after="0" w:afterAutospacing="0" w:line="500" w:lineRule="exact"/>
        <w:ind w:left="1280" w:hanging="720" w:firstLineChars="0"/>
        <w:jc w:val="left"/>
        <w:outlineLvl w:val="1"/>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val="en-US" w:eastAsia="zh-CN" w:bidi="ar"/>
        </w:rPr>
        <w:t>1</w:t>
      </w:r>
      <w:r>
        <w:rPr>
          <w:rFonts w:hint="eastAsia" w:ascii="宋体" w:hAnsi="宋体" w:eastAsia="宋体" w:cs="宋体"/>
          <w:color w:val="000000"/>
          <w:kern w:val="0"/>
          <w:sz w:val="21"/>
          <w:szCs w:val="21"/>
          <w:lang w:eastAsia="zh-CN" w:bidi="ar"/>
        </w:rPr>
        <w:t>）货物清单</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2613"/>
        <w:gridCol w:w="804"/>
        <w:gridCol w:w="910"/>
        <w:gridCol w:w="1750"/>
        <w:gridCol w:w="1816"/>
      </w:tblGrid>
      <w:tr w14:paraId="27D5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367" w:type="pct"/>
            <w:noWrap w:val="0"/>
            <w:vAlign w:val="center"/>
          </w:tcPr>
          <w:p w14:paraId="0D427F4B">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i w:val="0"/>
                <w:iCs w:val="0"/>
                <w:color w:val="000000"/>
                <w:kern w:val="0"/>
                <w:sz w:val="21"/>
                <w:szCs w:val="21"/>
                <w:u w:val="none"/>
                <w:lang w:val="en-US" w:eastAsia="zh-CN" w:bidi="ar"/>
              </w:rPr>
              <w:t>序号</w:t>
            </w:r>
          </w:p>
        </w:tc>
        <w:tc>
          <w:tcPr>
            <w:tcW w:w="1533" w:type="pct"/>
            <w:noWrap w:val="0"/>
            <w:vAlign w:val="center"/>
          </w:tcPr>
          <w:p w14:paraId="6CFE1FEC">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i w:val="0"/>
                <w:iCs w:val="0"/>
                <w:color w:val="000000"/>
                <w:kern w:val="0"/>
                <w:sz w:val="21"/>
                <w:szCs w:val="21"/>
                <w:u w:val="none"/>
                <w:lang w:val="en-US" w:eastAsia="zh-CN" w:bidi="ar"/>
              </w:rPr>
              <w:t>货物名称</w:t>
            </w:r>
          </w:p>
        </w:tc>
        <w:tc>
          <w:tcPr>
            <w:tcW w:w="472" w:type="pct"/>
            <w:noWrap w:val="0"/>
            <w:vAlign w:val="center"/>
          </w:tcPr>
          <w:p w14:paraId="5BB5779E">
            <w:pPr>
              <w:keepNext w:val="0"/>
              <w:keepLines w:val="0"/>
              <w:widowControl/>
              <w:suppressLineNumbers w:val="0"/>
              <w:jc w:val="center"/>
              <w:textAlignment w:val="center"/>
              <w:rPr>
                <w:rFonts w:hint="eastAsia" w:ascii="宋体" w:hAnsi="宋体" w:eastAsia="宋体" w:cs="宋体"/>
                <w:b/>
                <w:sz w:val="21"/>
                <w:szCs w:val="21"/>
                <w:lang w:val="en-US" w:eastAsia="zh-CN"/>
              </w:rPr>
            </w:pPr>
            <w:r>
              <w:rPr>
                <w:rFonts w:hint="eastAsia" w:ascii="宋体" w:hAnsi="宋体" w:eastAsia="宋体" w:cs="宋体"/>
                <w:i w:val="0"/>
                <w:iCs w:val="0"/>
                <w:color w:val="000000"/>
                <w:kern w:val="0"/>
                <w:sz w:val="21"/>
                <w:szCs w:val="21"/>
                <w:u w:val="none"/>
                <w:lang w:val="en-US" w:eastAsia="zh-CN" w:bidi="ar"/>
              </w:rPr>
              <w:t>数量</w:t>
            </w:r>
          </w:p>
        </w:tc>
        <w:tc>
          <w:tcPr>
            <w:tcW w:w="534" w:type="pct"/>
            <w:noWrap w:val="0"/>
            <w:vAlign w:val="center"/>
          </w:tcPr>
          <w:p w14:paraId="455E37EC">
            <w:pPr>
              <w:keepNext w:val="0"/>
              <w:keepLines w:val="0"/>
              <w:widowControl/>
              <w:suppressLineNumbers w:val="0"/>
              <w:jc w:val="center"/>
              <w:textAlignment w:val="center"/>
              <w:rPr>
                <w:rFonts w:hint="eastAsia" w:ascii="宋体" w:hAnsi="宋体" w:eastAsia="宋体" w:cs="宋体"/>
                <w:b/>
                <w:sz w:val="21"/>
                <w:szCs w:val="21"/>
                <w:lang w:eastAsia="zh-CN"/>
              </w:rPr>
            </w:pPr>
            <w:r>
              <w:rPr>
                <w:rFonts w:hint="eastAsia" w:ascii="宋体" w:hAnsi="宋体" w:eastAsia="宋体" w:cs="宋体"/>
                <w:i w:val="0"/>
                <w:iCs w:val="0"/>
                <w:color w:val="000000"/>
                <w:kern w:val="0"/>
                <w:sz w:val="21"/>
                <w:szCs w:val="21"/>
                <w:u w:val="none"/>
                <w:lang w:val="en-US" w:eastAsia="zh-CN" w:bidi="ar"/>
              </w:rPr>
              <w:t>单位</w:t>
            </w:r>
          </w:p>
        </w:tc>
        <w:tc>
          <w:tcPr>
            <w:tcW w:w="1027" w:type="pct"/>
            <w:noWrap w:val="0"/>
            <w:vAlign w:val="center"/>
          </w:tcPr>
          <w:p w14:paraId="3E8BB404">
            <w:pPr>
              <w:keepNext w:val="0"/>
              <w:keepLines w:val="0"/>
              <w:widowControl/>
              <w:suppressLineNumbers w:val="0"/>
              <w:jc w:val="center"/>
              <w:textAlignment w:val="center"/>
              <w:rPr>
                <w:rFonts w:hint="eastAsia" w:ascii="宋体" w:hAnsi="宋体" w:eastAsia="宋体" w:cs="宋体"/>
                <w:b/>
                <w:color w:val="000000"/>
                <w:sz w:val="21"/>
                <w:szCs w:val="21"/>
                <w:lang w:val="en-US" w:eastAsia="zh-CN"/>
              </w:rPr>
            </w:pPr>
            <w:r>
              <w:rPr>
                <w:rFonts w:hint="eastAsia" w:ascii="宋体" w:hAnsi="宋体" w:eastAsia="宋体" w:cs="宋体"/>
                <w:i w:val="0"/>
                <w:iCs w:val="0"/>
                <w:color w:val="000000"/>
                <w:sz w:val="21"/>
                <w:szCs w:val="21"/>
                <w:u w:val="none"/>
                <w:lang w:val="en-US" w:eastAsia="zh-CN"/>
              </w:rPr>
              <w:t>是否接受进口</w:t>
            </w:r>
          </w:p>
        </w:tc>
        <w:tc>
          <w:tcPr>
            <w:tcW w:w="1065" w:type="pct"/>
            <w:noWrap w:val="0"/>
            <w:vAlign w:val="center"/>
          </w:tcPr>
          <w:p w14:paraId="4FFE2030">
            <w:pPr>
              <w:keepNext w:val="0"/>
              <w:keepLines w:val="0"/>
              <w:widowControl/>
              <w:suppressLineNumbers w:val="0"/>
              <w:jc w:val="center"/>
              <w:textAlignment w:val="center"/>
              <w:rPr>
                <w:rFonts w:hint="eastAsia" w:ascii="宋体" w:hAnsi="宋体" w:eastAsia="宋体" w:cs="宋体"/>
                <w:b/>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财政预算限额（万元）</w:t>
            </w:r>
          </w:p>
        </w:tc>
      </w:tr>
      <w:tr w14:paraId="2480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367" w:type="pct"/>
            <w:noWrap w:val="0"/>
            <w:vAlign w:val="center"/>
          </w:tcPr>
          <w:p w14:paraId="06FB753E">
            <w:pPr>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533" w:type="pct"/>
            <w:noWrap w:val="0"/>
            <w:vAlign w:val="center"/>
          </w:tcPr>
          <w:p w14:paraId="1318E9B2">
            <w:pPr>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中央监护系统（1拖10）</w:t>
            </w:r>
          </w:p>
        </w:tc>
        <w:tc>
          <w:tcPr>
            <w:tcW w:w="472" w:type="pct"/>
            <w:noWrap w:val="0"/>
            <w:vAlign w:val="center"/>
          </w:tcPr>
          <w:p w14:paraId="48C79248">
            <w:pPr>
              <w:keepNext w:val="0"/>
              <w:keepLines w:val="0"/>
              <w:widowControl/>
              <w:suppressLineNumbers w:val="0"/>
              <w:jc w:val="center"/>
              <w:textAlignment w:val="center"/>
              <w:rPr>
                <w:rFonts w:hint="eastAsia" w:ascii="宋体" w:hAnsi="宋体" w:eastAsia="宋体" w:cs="宋体"/>
                <w:bCs/>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34" w:type="pct"/>
            <w:noWrap w:val="0"/>
            <w:vAlign w:val="center"/>
          </w:tcPr>
          <w:p w14:paraId="71949358">
            <w:pPr>
              <w:keepNext w:val="0"/>
              <w:keepLines w:val="0"/>
              <w:widowControl/>
              <w:suppressLineNumbers w:val="0"/>
              <w:jc w:val="center"/>
              <w:textAlignment w:val="center"/>
              <w:rPr>
                <w:rFonts w:hint="eastAsia" w:ascii="宋体" w:hAnsi="宋体" w:eastAsia="宋体" w:cs="宋体"/>
                <w:bCs/>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27" w:type="pct"/>
            <w:noWrap w:val="0"/>
            <w:vAlign w:val="center"/>
          </w:tcPr>
          <w:p w14:paraId="232BE767">
            <w:pPr>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拒绝进口</w:t>
            </w:r>
          </w:p>
        </w:tc>
        <w:tc>
          <w:tcPr>
            <w:tcW w:w="1065" w:type="pct"/>
            <w:noWrap w:val="0"/>
            <w:vAlign w:val="center"/>
          </w:tcPr>
          <w:p w14:paraId="5659EFE7">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162</w:t>
            </w:r>
          </w:p>
        </w:tc>
      </w:tr>
    </w:tbl>
    <w:p w14:paraId="68D27EE2">
      <w:pPr>
        <w:ind w:firstLine="422" w:firstLineChars="200"/>
        <w:rPr>
          <w:rFonts w:hint="eastAsia" w:ascii="宋体" w:hAnsi="宋体" w:eastAsia="宋体" w:cs="宋体"/>
          <w:b/>
          <w:color w:val="FF0000"/>
          <w:sz w:val="21"/>
          <w:szCs w:val="21"/>
          <w:highlight w:val="none"/>
        </w:rPr>
      </w:pPr>
      <w:r>
        <w:rPr>
          <w:rFonts w:hint="eastAsia" w:ascii="宋体" w:hAnsi="宋体" w:eastAsia="宋体" w:cs="宋体"/>
          <w:b/>
          <w:color w:val="FF0000"/>
          <w:sz w:val="21"/>
          <w:szCs w:val="21"/>
          <w:highlight w:val="none"/>
        </w:rPr>
        <w:t>备注：1.</w:t>
      </w:r>
      <w:r>
        <w:rPr>
          <w:rFonts w:hint="eastAsia" w:ascii="宋体" w:hAnsi="宋体" w:eastAsia="宋体" w:cs="宋体"/>
          <w:b/>
          <w:color w:val="FF0000"/>
          <w:sz w:val="21"/>
          <w:szCs w:val="21"/>
          <w:highlight w:val="none"/>
          <w:lang w:eastAsia="zh-CN"/>
        </w:rPr>
        <w:t>“</w:t>
      </w:r>
      <w:r>
        <w:rPr>
          <w:rFonts w:hint="eastAsia" w:ascii="宋体" w:hAnsi="宋体" w:eastAsia="宋体" w:cs="宋体"/>
          <w:b/>
          <w:color w:val="FF0000"/>
          <w:sz w:val="21"/>
          <w:szCs w:val="21"/>
          <w:highlight w:val="none"/>
          <w:lang w:val="en-US" w:eastAsia="zh-CN"/>
        </w:rPr>
        <w:t>是否接受进口</w:t>
      </w:r>
      <w:r>
        <w:rPr>
          <w:rFonts w:hint="eastAsia" w:ascii="宋体" w:hAnsi="宋体" w:eastAsia="宋体" w:cs="宋体"/>
          <w:b/>
          <w:color w:val="FF0000"/>
          <w:sz w:val="21"/>
          <w:szCs w:val="21"/>
          <w:highlight w:val="none"/>
          <w:lang w:eastAsia="zh-CN"/>
        </w:rPr>
        <w:t>”</w:t>
      </w:r>
      <w:r>
        <w:rPr>
          <w:rFonts w:hint="eastAsia" w:ascii="宋体" w:hAnsi="宋体" w:eastAsia="宋体" w:cs="宋体"/>
          <w:b/>
          <w:color w:val="FF0000"/>
          <w:sz w:val="21"/>
          <w:szCs w:val="21"/>
          <w:highlight w:val="none"/>
        </w:rPr>
        <w:t>栏注明“拒绝进口”的产品不接受投标人选用进口产品参与投标；注明“接受进口”的产品允许投标人选用进口产品参与投标，但不排斥国内产品。</w:t>
      </w:r>
    </w:p>
    <w:p w14:paraId="2F235F1D">
      <w:pPr>
        <w:spacing w:line="240" w:lineRule="auto"/>
        <w:ind w:firstLine="422" w:firstLineChars="200"/>
        <w:rPr>
          <w:rFonts w:hint="eastAsia" w:ascii="宋体" w:hAnsi="宋体" w:eastAsia="宋体" w:cs="宋体"/>
          <w:b/>
          <w:color w:val="FF0000"/>
          <w:sz w:val="21"/>
          <w:szCs w:val="21"/>
          <w:highlight w:val="none"/>
        </w:rPr>
      </w:pPr>
      <w:r>
        <w:rPr>
          <w:rFonts w:hint="eastAsia" w:ascii="宋体" w:hAnsi="宋体" w:eastAsia="宋体" w:cs="宋体"/>
          <w:b/>
          <w:color w:val="FF0000"/>
          <w:sz w:val="21"/>
          <w:szCs w:val="21"/>
          <w:highlight w:val="none"/>
        </w:rPr>
        <w:t>2</w:t>
      </w:r>
      <w:r>
        <w:rPr>
          <w:rFonts w:hint="eastAsia" w:ascii="宋体" w:hAnsi="宋体" w:eastAsia="宋体" w:cs="宋体"/>
          <w:b/>
          <w:color w:val="FF0000"/>
          <w:sz w:val="21"/>
          <w:szCs w:val="21"/>
          <w:highlight w:val="none"/>
          <w:lang w:val="en-US" w:eastAsia="zh-CN"/>
        </w:rPr>
        <w:t>.</w:t>
      </w:r>
      <w:r>
        <w:rPr>
          <w:rFonts w:hint="eastAsia" w:ascii="宋体" w:hAnsi="宋体" w:eastAsia="宋体" w:cs="宋体"/>
          <w:b/>
          <w:color w:val="FF0000"/>
          <w:sz w:val="21"/>
          <w:szCs w:val="21"/>
          <w:highlight w:val="none"/>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号文和财办库〔2008〕248号文的相关规定为准。</w:t>
      </w:r>
    </w:p>
    <w:p w14:paraId="263F2B69">
      <w:pPr>
        <w:ind w:firstLine="422" w:firstLineChars="200"/>
        <w:rPr>
          <w:rFonts w:hint="eastAsia" w:ascii="宋体" w:hAnsi="宋体" w:eastAsia="宋体" w:cs="宋体"/>
          <w:b/>
          <w:color w:val="FF0000"/>
          <w:kern w:val="2"/>
          <w:sz w:val="21"/>
          <w:szCs w:val="21"/>
          <w:highlight w:val="none"/>
          <w:lang w:eastAsia="zh-CN" w:bidi="ar"/>
        </w:rPr>
      </w:pPr>
      <w:r>
        <w:rPr>
          <w:rFonts w:hint="eastAsia" w:ascii="宋体" w:hAnsi="宋体" w:eastAsia="宋体" w:cs="宋体"/>
          <w:b/>
          <w:bCs w:val="0"/>
          <w:color w:val="FF0000"/>
          <w:sz w:val="21"/>
          <w:szCs w:val="21"/>
          <w:highlight w:val="none"/>
        </w:rPr>
        <w:t>3</w:t>
      </w:r>
      <w:r>
        <w:rPr>
          <w:rFonts w:hint="eastAsia" w:ascii="宋体" w:hAnsi="宋体" w:eastAsia="宋体" w:cs="宋体"/>
          <w:b/>
          <w:bCs w:val="0"/>
          <w:color w:val="FF0000"/>
          <w:sz w:val="21"/>
          <w:szCs w:val="21"/>
          <w:highlight w:val="none"/>
          <w:lang w:val="en-US" w:eastAsia="zh-CN"/>
        </w:rPr>
        <w:t>.</w:t>
      </w:r>
      <w:r>
        <w:rPr>
          <w:rFonts w:hint="eastAsia" w:ascii="宋体" w:hAnsi="宋体" w:eastAsia="宋体" w:cs="宋体"/>
          <w:b/>
          <w:bCs w:val="0"/>
          <w:color w:val="FF0000"/>
          <w:sz w:val="21"/>
          <w:szCs w:val="21"/>
          <w:highlight w:val="none"/>
        </w:rPr>
        <w:t>本项目核心产品为：</w:t>
      </w:r>
      <w:r>
        <w:rPr>
          <w:rFonts w:hint="eastAsia" w:ascii="宋体" w:hAnsi="宋体" w:eastAsia="宋体" w:cs="宋体"/>
          <w:b/>
          <w:bCs w:val="0"/>
          <w:color w:val="FF0000"/>
          <w:sz w:val="21"/>
          <w:szCs w:val="21"/>
          <w:highlight w:val="none"/>
          <w:u w:val="single"/>
          <w:lang w:val="en-US" w:eastAsia="zh-CN"/>
        </w:rPr>
        <w:t>中央监护系统（1拖10）</w:t>
      </w:r>
      <w:r>
        <w:rPr>
          <w:rFonts w:hint="eastAsia" w:ascii="宋体" w:hAnsi="宋体" w:eastAsia="宋体" w:cs="宋体"/>
          <w:b/>
          <w:bCs w:val="0"/>
          <w:color w:val="FF0000"/>
          <w:sz w:val="21"/>
          <w:szCs w:val="21"/>
          <w:highlight w:val="none"/>
          <w:u w:val="single"/>
        </w:rPr>
        <w:t>（序号</w:t>
      </w:r>
      <w:r>
        <w:rPr>
          <w:rFonts w:hint="eastAsia" w:ascii="宋体" w:hAnsi="宋体" w:eastAsia="宋体" w:cs="宋体"/>
          <w:b/>
          <w:bCs w:val="0"/>
          <w:color w:val="FF0000"/>
          <w:sz w:val="21"/>
          <w:szCs w:val="21"/>
          <w:highlight w:val="none"/>
          <w:u w:val="single"/>
          <w:lang w:val="en-US" w:eastAsia="zh-CN"/>
        </w:rPr>
        <w:t>1</w:t>
      </w:r>
      <w:r>
        <w:rPr>
          <w:rFonts w:hint="eastAsia" w:ascii="宋体" w:hAnsi="宋体" w:eastAsia="宋体" w:cs="宋体"/>
          <w:b/>
          <w:bCs w:val="0"/>
          <w:color w:val="FF0000"/>
          <w:sz w:val="21"/>
          <w:szCs w:val="21"/>
          <w:highlight w:val="none"/>
          <w:u w:val="single"/>
        </w:rPr>
        <w:t>）。</w:t>
      </w:r>
    </w:p>
    <w:p w14:paraId="6B75A01C">
      <w:pPr>
        <w:pStyle w:val="71"/>
        <w:widowControl/>
        <w:numPr>
          <w:ilvl w:val="0"/>
          <w:numId w:val="0"/>
        </w:numPr>
        <w:spacing w:before="0" w:beforeAutospacing="0" w:after="0" w:afterAutospacing="0" w:line="500" w:lineRule="exact"/>
        <w:ind w:left="1280" w:hanging="720" w:firstLineChars="0"/>
        <w:jc w:val="left"/>
        <w:outlineLvl w:val="1"/>
        <w:rPr>
          <w:rFonts w:hint="eastAsia" w:ascii="宋体" w:hAnsi="宋体" w:eastAsia="宋体" w:cs="宋体"/>
          <w:b/>
          <w:color w:val="FF0000"/>
          <w:sz w:val="21"/>
          <w:szCs w:val="21"/>
          <w:highlight w:val="none"/>
        </w:rPr>
      </w:pP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val="en-US" w:eastAsia="zh-CN" w:bidi="ar"/>
        </w:rPr>
        <w:t>2</w:t>
      </w:r>
      <w:r>
        <w:rPr>
          <w:rFonts w:hint="eastAsia" w:ascii="宋体" w:hAnsi="宋体" w:eastAsia="宋体" w:cs="宋体"/>
          <w:color w:val="000000"/>
          <w:kern w:val="0"/>
          <w:sz w:val="21"/>
          <w:szCs w:val="21"/>
          <w:lang w:eastAsia="zh-CN" w:bidi="ar"/>
        </w:rPr>
        <w:t>）</w:t>
      </w:r>
      <w:r>
        <w:rPr>
          <w:rFonts w:hint="eastAsia" w:ascii="宋体" w:hAnsi="宋体" w:eastAsia="宋体" w:cs="宋体"/>
          <w:b/>
          <w:bCs/>
          <w:i w:val="0"/>
          <w:iCs w:val="0"/>
          <w:color w:val="000000"/>
          <w:kern w:val="0"/>
          <w:sz w:val="21"/>
          <w:szCs w:val="21"/>
          <w:u w:val="none"/>
          <w:lang w:val="en-US" w:eastAsia="zh-CN" w:bidi="ar"/>
        </w:rPr>
        <w:t>★</w:t>
      </w:r>
      <w:r>
        <w:rPr>
          <w:rFonts w:hint="eastAsia" w:ascii="宋体" w:hAnsi="宋体" w:eastAsia="宋体" w:cs="宋体"/>
          <w:color w:val="000000"/>
          <w:kern w:val="0"/>
          <w:sz w:val="21"/>
          <w:szCs w:val="21"/>
          <w:lang w:eastAsia="zh-CN" w:bidi="ar"/>
        </w:rPr>
        <w:t>具体配置清单</w:t>
      </w:r>
      <w:bookmarkStart w:id="5" w:name="OLE_LINK30"/>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33"/>
        <w:gridCol w:w="4902"/>
        <w:gridCol w:w="1113"/>
        <w:gridCol w:w="1471"/>
      </w:tblGrid>
      <w:tr w14:paraId="33B3D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606" w:type="pct"/>
            <w:shd w:val="clear" w:color="auto" w:fill="auto"/>
            <w:vAlign w:val="center"/>
          </w:tcPr>
          <w:p w14:paraId="1684A9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2876" w:type="pct"/>
            <w:shd w:val="clear" w:color="auto" w:fill="auto"/>
            <w:vAlign w:val="center"/>
          </w:tcPr>
          <w:p w14:paraId="5C9883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sz w:val="21"/>
                <w:szCs w:val="21"/>
                <w:u w:val="none"/>
              </w:rPr>
              <w:t>配置名称</w:t>
            </w:r>
          </w:p>
        </w:tc>
        <w:tc>
          <w:tcPr>
            <w:tcW w:w="653" w:type="pct"/>
            <w:shd w:val="clear" w:color="auto" w:fill="auto"/>
            <w:vAlign w:val="center"/>
          </w:tcPr>
          <w:p w14:paraId="09DDE01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63" w:type="pct"/>
            <w:shd w:val="clear" w:color="auto" w:fill="auto"/>
            <w:vAlign w:val="center"/>
          </w:tcPr>
          <w:p w14:paraId="08F4D5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r>
      <w:tr w14:paraId="19AF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6FB113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876" w:type="pct"/>
            <w:shd w:val="clear" w:color="auto" w:fill="auto"/>
            <w:vAlign w:val="center"/>
          </w:tcPr>
          <w:p w14:paraId="233180B1">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中央站</w:t>
            </w:r>
          </w:p>
        </w:tc>
        <w:tc>
          <w:tcPr>
            <w:tcW w:w="653" w:type="pct"/>
            <w:shd w:val="clear" w:color="auto" w:fill="auto"/>
            <w:vAlign w:val="center"/>
          </w:tcPr>
          <w:p w14:paraId="76F2D4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863" w:type="pct"/>
            <w:shd w:val="clear" w:color="auto" w:fill="auto"/>
            <w:vAlign w:val="center"/>
          </w:tcPr>
          <w:p w14:paraId="38B12E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690B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56668AB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2876" w:type="pct"/>
            <w:shd w:val="clear" w:color="auto" w:fill="auto"/>
            <w:vAlign w:val="center"/>
          </w:tcPr>
          <w:p w14:paraId="4A32F10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电脑主机</w:t>
            </w:r>
          </w:p>
        </w:tc>
        <w:tc>
          <w:tcPr>
            <w:tcW w:w="653" w:type="pct"/>
            <w:shd w:val="clear" w:color="auto" w:fill="auto"/>
            <w:vAlign w:val="center"/>
          </w:tcPr>
          <w:p w14:paraId="057DE7F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863" w:type="pct"/>
            <w:shd w:val="clear" w:color="auto" w:fill="auto"/>
            <w:vAlign w:val="center"/>
          </w:tcPr>
          <w:p w14:paraId="525BDC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491F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05A15FC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2876" w:type="pct"/>
            <w:shd w:val="clear" w:color="auto" w:fill="auto"/>
            <w:vAlign w:val="center"/>
          </w:tcPr>
          <w:p w14:paraId="31EA073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加密狗</w:t>
            </w:r>
          </w:p>
        </w:tc>
        <w:tc>
          <w:tcPr>
            <w:tcW w:w="653" w:type="pct"/>
            <w:shd w:val="clear" w:color="auto" w:fill="auto"/>
            <w:vAlign w:val="center"/>
          </w:tcPr>
          <w:p w14:paraId="4ACEA4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863" w:type="pct"/>
            <w:shd w:val="clear" w:color="auto" w:fill="auto"/>
            <w:vAlign w:val="center"/>
          </w:tcPr>
          <w:p w14:paraId="6BD900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5749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4C6DCF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2876" w:type="pct"/>
            <w:shd w:val="clear" w:color="auto" w:fill="auto"/>
            <w:vAlign w:val="center"/>
          </w:tcPr>
          <w:p w14:paraId="37E5611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鼠标</w:t>
            </w:r>
          </w:p>
        </w:tc>
        <w:tc>
          <w:tcPr>
            <w:tcW w:w="653" w:type="pct"/>
            <w:shd w:val="clear" w:color="auto" w:fill="auto"/>
            <w:vAlign w:val="center"/>
          </w:tcPr>
          <w:p w14:paraId="366AE40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863" w:type="pct"/>
            <w:shd w:val="clear" w:color="auto" w:fill="auto"/>
            <w:vAlign w:val="center"/>
          </w:tcPr>
          <w:p w14:paraId="0F11C1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7AFC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61C22F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2876" w:type="pct"/>
            <w:shd w:val="clear" w:color="auto" w:fill="auto"/>
            <w:vAlign w:val="center"/>
          </w:tcPr>
          <w:p w14:paraId="593DBEB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键盘</w:t>
            </w:r>
          </w:p>
        </w:tc>
        <w:tc>
          <w:tcPr>
            <w:tcW w:w="653" w:type="pct"/>
            <w:shd w:val="clear" w:color="auto" w:fill="auto"/>
            <w:vAlign w:val="center"/>
          </w:tcPr>
          <w:p w14:paraId="3FB5C4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863" w:type="pct"/>
            <w:shd w:val="clear" w:color="auto" w:fill="auto"/>
            <w:vAlign w:val="center"/>
          </w:tcPr>
          <w:p w14:paraId="291D29A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F3E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11E39B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2876" w:type="pct"/>
            <w:shd w:val="clear" w:color="auto" w:fill="auto"/>
            <w:vAlign w:val="center"/>
          </w:tcPr>
          <w:p w14:paraId="60682B1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激光打印机</w:t>
            </w:r>
          </w:p>
        </w:tc>
        <w:tc>
          <w:tcPr>
            <w:tcW w:w="653" w:type="pct"/>
            <w:shd w:val="clear" w:color="auto" w:fill="auto"/>
            <w:vAlign w:val="center"/>
          </w:tcPr>
          <w:p w14:paraId="742847A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863" w:type="pct"/>
            <w:shd w:val="clear" w:color="auto" w:fill="auto"/>
            <w:vAlign w:val="center"/>
          </w:tcPr>
          <w:p w14:paraId="003924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752C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06" w:type="pct"/>
            <w:shd w:val="clear" w:color="auto" w:fill="auto"/>
            <w:vAlign w:val="center"/>
          </w:tcPr>
          <w:p w14:paraId="01F52E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2876" w:type="pct"/>
            <w:shd w:val="clear" w:color="auto" w:fill="auto"/>
            <w:vAlign w:val="center"/>
          </w:tcPr>
          <w:p w14:paraId="0F0358E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22英寸液晶显示器</w:t>
            </w:r>
          </w:p>
        </w:tc>
        <w:tc>
          <w:tcPr>
            <w:tcW w:w="653" w:type="pct"/>
            <w:shd w:val="clear" w:color="auto" w:fill="auto"/>
            <w:vAlign w:val="center"/>
          </w:tcPr>
          <w:p w14:paraId="1507D4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863" w:type="pct"/>
            <w:shd w:val="clear" w:color="auto" w:fill="auto"/>
            <w:vAlign w:val="center"/>
          </w:tcPr>
          <w:p w14:paraId="182B070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3423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74767F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2876" w:type="pct"/>
            <w:shd w:val="clear" w:color="auto" w:fill="auto"/>
            <w:vAlign w:val="center"/>
          </w:tcPr>
          <w:p w14:paraId="5B35B78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55英寸电视及组件</w:t>
            </w:r>
          </w:p>
        </w:tc>
        <w:tc>
          <w:tcPr>
            <w:tcW w:w="653" w:type="pct"/>
            <w:shd w:val="clear" w:color="auto" w:fill="auto"/>
            <w:vAlign w:val="center"/>
          </w:tcPr>
          <w:p w14:paraId="245C21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63" w:type="pct"/>
            <w:shd w:val="clear" w:color="auto" w:fill="auto"/>
            <w:vAlign w:val="center"/>
          </w:tcPr>
          <w:p w14:paraId="364798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7F84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457EEA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2876" w:type="pct"/>
            <w:shd w:val="clear" w:color="auto" w:fill="auto"/>
            <w:vAlign w:val="center"/>
          </w:tcPr>
          <w:p w14:paraId="6C8686D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音箱</w:t>
            </w:r>
          </w:p>
        </w:tc>
        <w:tc>
          <w:tcPr>
            <w:tcW w:w="653" w:type="pct"/>
            <w:shd w:val="clear" w:color="auto" w:fill="auto"/>
            <w:vAlign w:val="center"/>
          </w:tcPr>
          <w:p w14:paraId="0B37A0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863" w:type="pct"/>
            <w:shd w:val="clear" w:color="auto" w:fill="auto"/>
            <w:vAlign w:val="center"/>
          </w:tcPr>
          <w:p w14:paraId="3564E5F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22C7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37C2C4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2876" w:type="pct"/>
            <w:shd w:val="clear" w:color="auto" w:fill="auto"/>
            <w:vAlign w:val="center"/>
          </w:tcPr>
          <w:p w14:paraId="74B26B7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电源线</w:t>
            </w:r>
          </w:p>
        </w:tc>
        <w:tc>
          <w:tcPr>
            <w:tcW w:w="653" w:type="pct"/>
            <w:shd w:val="clear" w:color="auto" w:fill="auto"/>
            <w:vAlign w:val="center"/>
          </w:tcPr>
          <w:p w14:paraId="3722BA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863" w:type="pct"/>
            <w:shd w:val="clear" w:color="auto" w:fill="auto"/>
            <w:vAlign w:val="center"/>
          </w:tcPr>
          <w:p w14:paraId="0CD3AB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F96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3EDCDA62">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1.10</w:t>
            </w:r>
          </w:p>
        </w:tc>
        <w:tc>
          <w:tcPr>
            <w:tcW w:w="2876" w:type="pct"/>
            <w:shd w:val="clear" w:color="auto" w:fill="auto"/>
            <w:vAlign w:val="center"/>
          </w:tcPr>
          <w:p w14:paraId="3ACAE33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联网组件</w:t>
            </w:r>
          </w:p>
        </w:tc>
        <w:tc>
          <w:tcPr>
            <w:tcW w:w="653" w:type="pct"/>
            <w:shd w:val="clear" w:color="auto" w:fill="auto"/>
            <w:vAlign w:val="center"/>
          </w:tcPr>
          <w:p w14:paraId="66B382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863" w:type="pct"/>
            <w:shd w:val="clear" w:color="auto" w:fill="auto"/>
            <w:vAlign w:val="center"/>
          </w:tcPr>
          <w:p w14:paraId="782865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EF8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0AE63D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876" w:type="pct"/>
            <w:shd w:val="clear" w:color="auto" w:fill="auto"/>
            <w:vAlign w:val="center"/>
          </w:tcPr>
          <w:p w14:paraId="0276699A">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病人监护仪</w:t>
            </w:r>
          </w:p>
        </w:tc>
        <w:tc>
          <w:tcPr>
            <w:tcW w:w="653" w:type="pct"/>
            <w:shd w:val="clear" w:color="auto" w:fill="auto"/>
            <w:vAlign w:val="center"/>
          </w:tcPr>
          <w:p w14:paraId="0304D7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33B1E8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617D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606" w:type="pct"/>
            <w:shd w:val="clear" w:color="auto" w:fill="auto"/>
            <w:vAlign w:val="center"/>
          </w:tcPr>
          <w:p w14:paraId="3906B3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2876" w:type="pct"/>
            <w:shd w:val="clear" w:color="auto" w:fill="auto"/>
            <w:vAlign w:val="center"/>
          </w:tcPr>
          <w:p w14:paraId="675BE58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15英寸监护仪主机（触摸屏）</w:t>
            </w:r>
          </w:p>
        </w:tc>
        <w:tc>
          <w:tcPr>
            <w:tcW w:w="653" w:type="pct"/>
            <w:shd w:val="clear" w:color="auto" w:fill="auto"/>
            <w:vAlign w:val="center"/>
          </w:tcPr>
          <w:p w14:paraId="498E489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08D514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12FA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06" w:type="pct"/>
            <w:shd w:val="clear" w:color="auto" w:fill="auto"/>
            <w:vAlign w:val="center"/>
          </w:tcPr>
          <w:p w14:paraId="4E9AB3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2876" w:type="pct"/>
            <w:shd w:val="clear" w:color="auto" w:fill="auto"/>
            <w:vAlign w:val="center"/>
          </w:tcPr>
          <w:p w14:paraId="51E3622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多参数模块（ECG、RESP、SpO2、PR、NIBP、TEMP）</w:t>
            </w:r>
          </w:p>
        </w:tc>
        <w:tc>
          <w:tcPr>
            <w:tcW w:w="653" w:type="pct"/>
            <w:shd w:val="clear" w:color="auto" w:fill="auto"/>
            <w:vAlign w:val="center"/>
          </w:tcPr>
          <w:p w14:paraId="7C8906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0B44E0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6538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06" w:type="pct"/>
            <w:shd w:val="clear" w:color="auto" w:fill="auto"/>
            <w:vAlign w:val="center"/>
          </w:tcPr>
          <w:p w14:paraId="278CFD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2876" w:type="pct"/>
            <w:shd w:val="clear" w:color="auto" w:fill="auto"/>
            <w:vAlign w:val="center"/>
          </w:tcPr>
          <w:p w14:paraId="07479BC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成人血氧传感器</w:t>
            </w:r>
          </w:p>
        </w:tc>
        <w:tc>
          <w:tcPr>
            <w:tcW w:w="653" w:type="pct"/>
            <w:shd w:val="clear" w:color="auto" w:fill="auto"/>
            <w:vAlign w:val="center"/>
          </w:tcPr>
          <w:p w14:paraId="1DC527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416AD1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3900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50CAF6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2876" w:type="pct"/>
            <w:shd w:val="clear" w:color="auto" w:fill="auto"/>
            <w:vAlign w:val="center"/>
          </w:tcPr>
          <w:p w14:paraId="418D3A9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体表体温探头</w:t>
            </w:r>
          </w:p>
        </w:tc>
        <w:tc>
          <w:tcPr>
            <w:tcW w:w="653" w:type="pct"/>
            <w:shd w:val="clear" w:color="auto" w:fill="auto"/>
            <w:vAlign w:val="center"/>
          </w:tcPr>
          <w:p w14:paraId="36882E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1F8466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4E7A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1037118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2876" w:type="pct"/>
            <w:shd w:val="clear" w:color="auto" w:fill="auto"/>
            <w:vAlign w:val="center"/>
          </w:tcPr>
          <w:p w14:paraId="12B3147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锂电池</w:t>
            </w:r>
          </w:p>
        </w:tc>
        <w:tc>
          <w:tcPr>
            <w:tcW w:w="653" w:type="pct"/>
            <w:shd w:val="clear" w:color="auto" w:fill="auto"/>
            <w:vAlign w:val="center"/>
          </w:tcPr>
          <w:p w14:paraId="38B1BB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344D1F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r>
      <w:tr w14:paraId="6974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179F8B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2876" w:type="pct"/>
            <w:shd w:val="clear" w:color="auto" w:fill="auto"/>
            <w:vAlign w:val="center"/>
          </w:tcPr>
          <w:p w14:paraId="7AE7847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血压气管延长管</w:t>
            </w:r>
          </w:p>
        </w:tc>
        <w:tc>
          <w:tcPr>
            <w:tcW w:w="653" w:type="pct"/>
            <w:shd w:val="clear" w:color="auto" w:fill="auto"/>
            <w:vAlign w:val="center"/>
          </w:tcPr>
          <w:p w14:paraId="395A746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7A4FB5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0143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1AF600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2876" w:type="pct"/>
            <w:shd w:val="clear" w:color="auto" w:fill="auto"/>
            <w:vAlign w:val="center"/>
          </w:tcPr>
          <w:p w14:paraId="0C2003A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血压袖套</w:t>
            </w:r>
          </w:p>
        </w:tc>
        <w:tc>
          <w:tcPr>
            <w:tcW w:w="653" w:type="pct"/>
            <w:shd w:val="clear" w:color="auto" w:fill="auto"/>
            <w:vAlign w:val="center"/>
          </w:tcPr>
          <w:p w14:paraId="408A31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25D647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1F3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7E4842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2876" w:type="pct"/>
            <w:shd w:val="clear" w:color="auto" w:fill="auto"/>
            <w:vAlign w:val="center"/>
          </w:tcPr>
          <w:p w14:paraId="2F46ACE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5导心电导联线</w:t>
            </w:r>
          </w:p>
        </w:tc>
        <w:tc>
          <w:tcPr>
            <w:tcW w:w="653" w:type="pct"/>
            <w:shd w:val="clear" w:color="auto" w:fill="auto"/>
            <w:vAlign w:val="center"/>
          </w:tcPr>
          <w:p w14:paraId="152E8C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1AE79D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3195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5A2423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2876" w:type="pct"/>
            <w:shd w:val="clear" w:color="auto" w:fill="auto"/>
            <w:vAlign w:val="center"/>
          </w:tcPr>
          <w:p w14:paraId="762F2B9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有创压IBP模块及附件包</w:t>
            </w:r>
          </w:p>
        </w:tc>
        <w:tc>
          <w:tcPr>
            <w:tcW w:w="653" w:type="pct"/>
            <w:shd w:val="clear" w:color="auto" w:fill="auto"/>
            <w:noWrap/>
            <w:vAlign w:val="center"/>
          </w:tcPr>
          <w:p w14:paraId="0DB557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863" w:type="pct"/>
            <w:shd w:val="clear" w:color="auto" w:fill="auto"/>
            <w:noWrap/>
            <w:vAlign w:val="center"/>
          </w:tcPr>
          <w:p w14:paraId="4456E0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4C93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06" w:type="pct"/>
            <w:shd w:val="clear" w:color="auto" w:fill="auto"/>
            <w:vAlign w:val="center"/>
          </w:tcPr>
          <w:p w14:paraId="294790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2876" w:type="pct"/>
            <w:shd w:val="clear" w:color="auto" w:fill="auto"/>
            <w:vAlign w:val="center"/>
          </w:tcPr>
          <w:p w14:paraId="7306B58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脑电双频指数BIS模块及附件包</w:t>
            </w:r>
          </w:p>
        </w:tc>
        <w:tc>
          <w:tcPr>
            <w:tcW w:w="653" w:type="pct"/>
            <w:shd w:val="clear" w:color="auto" w:fill="auto"/>
            <w:noWrap/>
            <w:vAlign w:val="center"/>
          </w:tcPr>
          <w:p w14:paraId="05A0E0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63" w:type="pct"/>
            <w:shd w:val="clear" w:color="auto" w:fill="auto"/>
            <w:noWrap/>
            <w:vAlign w:val="center"/>
          </w:tcPr>
          <w:p w14:paraId="390ABE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0ECD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06" w:type="pct"/>
            <w:shd w:val="clear" w:color="auto" w:fill="auto"/>
            <w:vAlign w:val="center"/>
          </w:tcPr>
          <w:p w14:paraId="1C45FA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2.11</w:t>
            </w:r>
          </w:p>
        </w:tc>
        <w:tc>
          <w:tcPr>
            <w:tcW w:w="2876" w:type="pct"/>
            <w:shd w:val="clear" w:color="auto" w:fill="auto"/>
            <w:vAlign w:val="center"/>
          </w:tcPr>
          <w:p w14:paraId="5833019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呼气末二氧化碳模块及附件包</w:t>
            </w:r>
          </w:p>
        </w:tc>
        <w:tc>
          <w:tcPr>
            <w:tcW w:w="653" w:type="pct"/>
            <w:shd w:val="clear" w:color="auto" w:fill="auto"/>
            <w:noWrap/>
            <w:vAlign w:val="center"/>
          </w:tcPr>
          <w:p w14:paraId="3ED57A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863" w:type="pct"/>
            <w:shd w:val="clear" w:color="auto" w:fill="auto"/>
            <w:noWrap/>
            <w:vAlign w:val="center"/>
          </w:tcPr>
          <w:p w14:paraId="3DDA74F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5A5B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442E6A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2.12</w:t>
            </w:r>
          </w:p>
        </w:tc>
        <w:tc>
          <w:tcPr>
            <w:tcW w:w="2876" w:type="pct"/>
            <w:shd w:val="clear" w:color="auto" w:fill="auto"/>
            <w:vAlign w:val="center"/>
          </w:tcPr>
          <w:p w14:paraId="27C02B4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转运监护仪及附件</w:t>
            </w:r>
          </w:p>
        </w:tc>
        <w:tc>
          <w:tcPr>
            <w:tcW w:w="653" w:type="pct"/>
            <w:shd w:val="clear" w:color="auto" w:fill="auto"/>
            <w:noWrap/>
            <w:vAlign w:val="center"/>
          </w:tcPr>
          <w:p w14:paraId="5F887C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63" w:type="pct"/>
            <w:shd w:val="clear" w:color="auto" w:fill="auto"/>
            <w:noWrap/>
            <w:vAlign w:val="center"/>
          </w:tcPr>
          <w:p w14:paraId="4DDC84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3FE9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4A8473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2.13</w:t>
            </w:r>
          </w:p>
        </w:tc>
        <w:tc>
          <w:tcPr>
            <w:tcW w:w="2876" w:type="pct"/>
            <w:shd w:val="clear" w:color="auto" w:fill="auto"/>
            <w:vAlign w:val="center"/>
          </w:tcPr>
          <w:p w14:paraId="16157BE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遥测收发器</w:t>
            </w:r>
          </w:p>
        </w:tc>
        <w:tc>
          <w:tcPr>
            <w:tcW w:w="653" w:type="pct"/>
            <w:shd w:val="clear" w:color="auto" w:fill="auto"/>
            <w:vAlign w:val="center"/>
          </w:tcPr>
          <w:p w14:paraId="57D7D0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863" w:type="pct"/>
            <w:shd w:val="clear" w:color="auto" w:fill="auto"/>
            <w:vAlign w:val="center"/>
          </w:tcPr>
          <w:p w14:paraId="09ABA4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337A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06" w:type="pct"/>
            <w:shd w:val="clear" w:color="auto" w:fill="auto"/>
            <w:vAlign w:val="center"/>
          </w:tcPr>
          <w:p w14:paraId="19407A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2.14</w:t>
            </w:r>
          </w:p>
        </w:tc>
        <w:tc>
          <w:tcPr>
            <w:tcW w:w="2876" w:type="pct"/>
            <w:shd w:val="clear" w:color="auto" w:fill="auto"/>
            <w:vAlign w:val="center"/>
          </w:tcPr>
          <w:p w14:paraId="7C8FA3E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遥测联网组件</w:t>
            </w:r>
          </w:p>
        </w:tc>
        <w:tc>
          <w:tcPr>
            <w:tcW w:w="653" w:type="pct"/>
            <w:shd w:val="clear" w:color="auto" w:fill="auto"/>
            <w:vAlign w:val="center"/>
          </w:tcPr>
          <w:p w14:paraId="3F9C03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63" w:type="pct"/>
            <w:shd w:val="clear" w:color="auto" w:fill="auto"/>
            <w:vAlign w:val="center"/>
          </w:tcPr>
          <w:p w14:paraId="2386A4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3D3B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06" w:type="pct"/>
            <w:shd w:val="clear" w:color="auto" w:fill="auto"/>
            <w:vAlign w:val="center"/>
          </w:tcPr>
          <w:p w14:paraId="552DEA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2.15</w:t>
            </w:r>
          </w:p>
        </w:tc>
        <w:tc>
          <w:tcPr>
            <w:tcW w:w="2876" w:type="pct"/>
            <w:shd w:val="clear" w:color="auto" w:fill="auto"/>
            <w:vAlign w:val="center"/>
          </w:tcPr>
          <w:p w14:paraId="628C82C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电池</w:t>
            </w:r>
          </w:p>
        </w:tc>
        <w:tc>
          <w:tcPr>
            <w:tcW w:w="653" w:type="pct"/>
            <w:shd w:val="clear" w:color="auto" w:fill="auto"/>
            <w:vAlign w:val="center"/>
          </w:tcPr>
          <w:p w14:paraId="57D15C3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863" w:type="pct"/>
            <w:shd w:val="clear" w:color="auto" w:fill="auto"/>
            <w:vAlign w:val="center"/>
          </w:tcPr>
          <w:p w14:paraId="7988509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节</w:t>
            </w:r>
          </w:p>
        </w:tc>
      </w:tr>
      <w:tr w14:paraId="0BA6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06" w:type="pct"/>
            <w:shd w:val="clear" w:color="auto" w:fill="auto"/>
            <w:vAlign w:val="center"/>
          </w:tcPr>
          <w:p w14:paraId="23E865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2.16</w:t>
            </w:r>
          </w:p>
        </w:tc>
        <w:tc>
          <w:tcPr>
            <w:tcW w:w="2876" w:type="pct"/>
            <w:shd w:val="clear" w:color="auto" w:fill="auto"/>
            <w:vAlign w:val="center"/>
          </w:tcPr>
          <w:p w14:paraId="0CE297F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遥测专用5导心电导联线及附件</w:t>
            </w:r>
          </w:p>
        </w:tc>
        <w:tc>
          <w:tcPr>
            <w:tcW w:w="653" w:type="pct"/>
            <w:shd w:val="clear" w:color="auto" w:fill="auto"/>
            <w:vAlign w:val="center"/>
          </w:tcPr>
          <w:p w14:paraId="713E0A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863" w:type="pct"/>
            <w:shd w:val="clear" w:color="auto" w:fill="auto"/>
            <w:vAlign w:val="center"/>
          </w:tcPr>
          <w:p w14:paraId="0A971E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760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0ACB21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2.17</w:t>
            </w:r>
          </w:p>
        </w:tc>
        <w:tc>
          <w:tcPr>
            <w:tcW w:w="2876" w:type="pct"/>
            <w:shd w:val="clear" w:color="auto" w:fill="auto"/>
            <w:vAlign w:val="center"/>
          </w:tcPr>
          <w:p w14:paraId="43FB987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遥测专用血氧传感器</w:t>
            </w:r>
          </w:p>
        </w:tc>
        <w:tc>
          <w:tcPr>
            <w:tcW w:w="653" w:type="pct"/>
            <w:shd w:val="clear" w:color="auto" w:fill="auto"/>
            <w:vAlign w:val="center"/>
          </w:tcPr>
          <w:p w14:paraId="348A97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863" w:type="pct"/>
            <w:shd w:val="clear" w:color="auto" w:fill="auto"/>
            <w:vAlign w:val="center"/>
          </w:tcPr>
          <w:p w14:paraId="227E326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48F4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0CC733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2.18</w:t>
            </w:r>
          </w:p>
        </w:tc>
        <w:tc>
          <w:tcPr>
            <w:tcW w:w="2876" w:type="pct"/>
            <w:shd w:val="clear" w:color="auto" w:fill="auto"/>
            <w:vAlign w:val="center"/>
          </w:tcPr>
          <w:p w14:paraId="4889872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体温探头</w:t>
            </w:r>
          </w:p>
        </w:tc>
        <w:tc>
          <w:tcPr>
            <w:tcW w:w="653" w:type="pct"/>
            <w:shd w:val="clear" w:color="auto" w:fill="auto"/>
            <w:vAlign w:val="center"/>
          </w:tcPr>
          <w:p w14:paraId="10AF77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863" w:type="pct"/>
            <w:shd w:val="clear" w:color="auto" w:fill="auto"/>
            <w:vAlign w:val="center"/>
          </w:tcPr>
          <w:p w14:paraId="764CC11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2589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57F3F48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w:t>
            </w:r>
          </w:p>
        </w:tc>
        <w:tc>
          <w:tcPr>
            <w:tcW w:w="2876" w:type="pct"/>
            <w:shd w:val="clear" w:color="auto" w:fill="auto"/>
            <w:vAlign w:val="center"/>
          </w:tcPr>
          <w:p w14:paraId="66C0CF1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遥测说明书</w:t>
            </w:r>
          </w:p>
        </w:tc>
        <w:tc>
          <w:tcPr>
            <w:tcW w:w="653" w:type="pct"/>
            <w:shd w:val="clear" w:color="auto" w:fill="auto"/>
            <w:vAlign w:val="center"/>
          </w:tcPr>
          <w:p w14:paraId="2E0315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863" w:type="pct"/>
            <w:shd w:val="clear" w:color="auto" w:fill="auto"/>
            <w:vAlign w:val="center"/>
          </w:tcPr>
          <w:p w14:paraId="3BA5B4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r>
      <w:tr w14:paraId="2E41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18D5D19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2.20 </w:t>
            </w:r>
          </w:p>
        </w:tc>
        <w:tc>
          <w:tcPr>
            <w:tcW w:w="2876" w:type="pct"/>
            <w:shd w:val="clear" w:color="auto" w:fill="auto"/>
            <w:vAlign w:val="center"/>
          </w:tcPr>
          <w:p w14:paraId="493F522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电源线</w:t>
            </w:r>
          </w:p>
        </w:tc>
        <w:tc>
          <w:tcPr>
            <w:tcW w:w="653" w:type="pct"/>
            <w:shd w:val="clear" w:color="auto" w:fill="auto"/>
            <w:vAlign w:val="center"/>
          </w:tcPr>
          <w:p w14:paraId="35CBAA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4F75F8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0BE5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54CE699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2.21</w:t>
            </w:r>
          </w:p>
        </w:tc>
        <w:tc>
          <w:tcPr>
            <w:tcW w:w="2876" w:type="pct"/>
            <w:shd w:val="clear" w:color="auto" w:fill="auto"/>
            <w:vAlign w:val="center"/>
          </w:tcPr>
          <w:p w14:paraId="323A869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接地线</w:t>
            </w:r>
          </w:p>
        </w:tc>
        <w:tc>
          <w:tcPr>
            <w:tcW w:w="653" w:type="pct"/>
            <w:shd w:val="clear" w:color="auto" w:fill="auto"/>
            <w:vAlign w:val="center"/>
          </w:tcPr>
          <w:p w14:paraId="114D59C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7F9D0F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23AD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7557F5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2.22</w:t>
            </w:r>
          </w:p>
        </w:tc>
        <w:tc>
          <w:tcPr>
            <w:tcW w:w="2876" w:type="pct"/>
            <w:shd w:val="clear" w:color="auto" w:fill="auto"/>
            <w:vAlign w:val="center"/>
          </w:tcPr>
          <w:p w14:paraId="71BE527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一次性心电电极片</w:t>
            </w:r>
          </w:p>
        </w:tc>
        <w:tc>
          <w:tcPr>
            <w:tcW w:w="653" w:type="pct"/>
            <w:shd w:val="clear" w:color="auto" w:fill="auto"/>
            <w:vAlign w:val="center"/>
          </w:tcPr>
          <w:p w14:paraId="29120D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6B4A9B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包</w:t>
            </w:r>
          </w:p>
        </w:tc>
      </w:tr>
      <w:tr w14:paraId="38FF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1154B6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2.23</w:t>
            </w:r>
          </w:p>
        </w:tc>
        <w:tc>
          <w:tcPr>
            <w:tcW w:w="2876" w:type="pct"/>
            <w:shd w:val="clear" w:color="auto" w:fill="auto"/>
            <w:vAlign w:val="center"/>
          </w:tcPr>
          <w:p w14:paraId="6BA1B39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移动台车</w:t>
            </w:r>
          </w:p>
        </w:tc>
        <w:tc>
          <w:tcPr>
            <w:tcW w:w="653" w:type="pct"/>
            <w:shd w:val="clear" w:color="auto" w:fill="auto"/>
            <w:vAlign w:val="center"/>
          </w:tcPr>
          <w:p w14:paraId="7E549A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863" w:type="pct"/>
            <w:shd w:val="clear" w:color="auto" w:fill="auto"/>
            <w:vAlign w:val="center"/>
          </w:tcPr>
          <w:p w14:paraId="14B6F5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1A58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06" w:type="pct"/>
            <w:shd w:val="clear" w:color="auto" w:fill="auto"/>
            <w:vAlign w:val="center"/>
          </w:tcPr>
          <w:p w14:paraId="336C4EE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2.24</w:t>
            </w:r>
          </w:p>
        </w:tc>
        <w:tc>
          <w:tcPr>
            <w:tcW w:w="2876" w:type="pct"/>
            <w:shd w:val="clear" w:color="auto" w:fill="auto"/>
            <w:vAlign w:val="center"/>
          </w:tcPr>
          <w:p w14:paraId="7585B87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挂墙支架</w:t>
            </w:r>
          </w:p>
        </w:tc>
        <w:tc>
          <w:tcPr>
            <w:tcW w:w="653" w:type="pct"/>
            <w:shd w:val="clear" w:color="auto" w:fill="auto"/>
            <w:vAlign w:val="center"/>
          </w:tcPr>
          <w:p w14:paraId="27F956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863" w:type="pct"/>
            <w:shd w:val="clear" w:color="auto" w:fill="auto"/>
            <w:vAlign w:val="center"/>
          </w:tcPr>
          <w:p w14:paraId="45E7413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10E2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06" w:type="pct"/>
            <w:shd w:val="clear" w:color="auto" w:fill="auto"/>
            <w:vAlign w:val="center"/>
          </w:tcPr>
          <w:p w14:paraId="381E203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2.25</w:t>
            </w:r>
          </w:p>
        </w:tc>
        <w:tc>
          <w:tcPr>
            <w:tcW w:w="2876" w:type="pct"/>
            <w:shd w:val="clear" w:color="auto" w:fill="auto"/>
            <w:vAlign w:val="center"/>
          </w:tcPr>
          <w:p w14:paraId="2EBCE68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中文说明书</w:t>
            </w:r>
          </w:p>
        </w:tc>
        <w:tc>
          <w:tcPr>
            <w:tcW w:w="653" w:type="pct"/>
            <w:shd w:val="clear" w:color="auto" w:fill="auto"/>
            <w:vAlign w:val="center"/>
          </w:tcPr>
          <w:p w14:paraId="4F440BE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863" w:type="pct"/>
            <w:shd w:val="clear" w:color="auto" w:fill="auto"/>
            <w:vAlign w:val="center"/>
          </w:tcPr>
          <w:p w14:paraId="484EE27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bl>
    <w:p w14:paraId="55AB3604">
      <w:pPr>
        <w:rPr>
          <w:rFonts w:hint="eastAsia" w:ascii="宋体" w:hAnsi="宋体" w:eastAsia="宋体" w:cs="宋体"/>
          <w:b/>
          <w:color w:val="FF0000"/>
          <w:sz w:val="21"/>
          <w:szCs w:val="21"/>
          <w:highlight w:val="none"/>
        </w:rPr>
      </w:pPr>
      <w:r>
        <w:rPr>
          <w:rFonts w:hint="eastAsia" w:ascii="宋体" w:hAnsi="宋体" w:eastAsia="宋体" w:cs="宋体"/>
          <w:b/>
          <w:color w:val="FF0000"/>
          <w:sz w:val="21"/>
          <w:szCs w:val="21"/>
          <w:highlight w:val="none"/>
        </w:rPr>
        <w:br w:type="page"/>
      </w:r>
    </w:p>
    <w:p w14:paraId="358D5D8A">
      <w:pPr>
        <w:ind w:firstLine="422" w:firstLineChars="200"/>
        <w:rPr>
          <w:rFonts w:hint="eastAsia" w:ascii="宋体" w:hAnsi="宋体" w:eastAsia="宋体" w:cs="宋体"/>
          <w:b/>
          <w:color w:val="FF0000"/>
          <w:sz w:val="21"/>
          <w:szCs w:val="21"/>
          <w:highlight w:val="none"/>
        </w:rPr>
      </w:pPr>
    </w:p>
    <w:bookmarkEnd w:id="5"/>
    <w:p w14:paraId="38FF997D">
      <w:pPr>
        <w:pStyle w:val="71"/>
        <w:widowControl/>
        <w:numPr>
          <w:ilvl w:val="0"/>
          <w:numId w:val="0"/>
        </w:numPr>
        <w:spacing w:before="0" w:beforeAutospacing="0" w:after="0" w:afterAutospacing="0" w:line="500" w:lineRule="exact"/>
        <w:ind w:left="1280" w:hanging="720" w:firstLineChars="0"/>
        <w:jc w:val="left"/>
        <w:outlineLvl w:val="1"/>
        <w:rPr>
          <w:rFonts w:hint="eastAsia" w:ascii="宋体" w:hAnsi="宋体" w:eastAsia="宋体" w:cstheme="minorEastAsia"/>
          <w:b/>
          <w:bCs/>
          <w:szCs w:val="21"/>
        </w:rPr>
      </w:pPr>
      <w:r>
        <w:rPr>
          <w:rFonts w:hint="default" w:ascii="宋体" w:hAnsi="宋体" w:eastAsia="宋体" w:cs="微软雅黑"/>
          <w:color w:val="000000"/>
          <w:kern w:val="0"/>
          <w:sz w:val="36"/>
          <w:szCs w:val="36"/>
          <w:lang w:val="en-US" w:eastAsia="zh-CN" w:bidi="ar"/>
        </w:rPr>
        <w:t>三、</w:t>
      </w:r>
      <w:r>
        <w:rPr>
          <w:rFonts w:hint="default" w:ascii="宋体" w:hAnsi="宋体" w:eastAsia="宋体" w:cs="微软雅黑"/>
          <w:color w:val="000000"/>
          <w:kern w:val="0"/>
          <w:sz w:val="36"/>
          <w:szCs w:val="36"/>
          <w:lang w:bidi="ar"/>
        </w:rPr>
        <w:t>技术要求</w:t>
      </w:r>
      <w:bookmarkStart w:id="6" w:name="_Hlk154758948"/>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39"/>
        <w:gridCol w:w="1065"/>
        <w:gridCol w:w="6045"/>
        <w:gridCol w:w="670"/>
      </w:tblGrid>
      <w:tr w14:paraId="2174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7" w:hRule="atLeast"/>
        </w:trPr>
        <w:tc>
          <w:tcPr>
            <w:tcW w:w="739" w:type="dxa"/>
            <w:shd w:val="clear" w:color="auto" w:fill="auto"/>
            <w:vAlign w:val="center"/>
          </w:tcPr>
          <w:p w14:paraId="2315FA6A">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1065" w:type="dxa"/>
            <w:shd w:val="clear" w:color="auto" w:fill="auto"/>
            <w:vAlign w:val="center"/>
          </w:tcPr>
          <w:p w14:paraId="6F912F7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货物名称</w:t>
            </w:r>
          </w:p>
        </w:tc>
        <w:tc>
          <w:tcPr>
            <w:tcW w:w="6045" w:type="dxa"/>
            <w:shd w:val="clear" w:color="auto" w:fill="auto"/>
            <w:vAlign w:val="center"/>
          </w:tcPr>
          <w:p w14:paraId="624FEA8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技术要求</w:t>
            </w:r>
          </w:p>
        </w:tc>
        <w:tc>
          <w:tcPr>
            <w:tcW w:w="670" w:type="dxa"/>
            <w:shd w:val="clear" w:color="auto" w:fill="auto"/>
            <w:vAlign w:val="center"/>
          </w:tcPr>
          <w:p w14:paraId="166EF2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标注</w:t>
            </w:r>
          </w:p>
        </w:tc>
      </w:tr>
      <w:tr w14:paraId="3AF7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39" w:type="dxa"/>
            <w:vMerge w:val="restart"/>
            <w:shd w:val="clear" w:color="auto" w:fill="auto"/>
            <w:vAlign w:val="center"/>
          </w:tcPr>
          <w:p w14:paraId="2F7B7B2F">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w:t>
            </w:r>
          </w:p>
        </w:tc>
        <w:tc>
          <w:tcPr>
            <w:tcW w:w="1065" w:type="dxa"/>
            <w:vMerge w:val="restart"/>
            <w:shd w:val="clear" w:color="auto" w:fill="auto"/>
            <w:vAlign w:val="center"/>
          </w:tcPr>
          <w:p w14:paraId="5C112CF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中央监护系统（1拖10）</w:t>
            </w:r>
          </w:p>
        </w:tc>
        <w:tc>
          <w:tcPr>
            <w:tcW w:w="6715" w:type="dxa"/>
            <w:gridSpan w:val="2"/>
            <w:shd w:val="clear" w:color="auto" w:fill="auto"/>
            <w:vAlign w:val="center"/>
          </w:tcPr>
          <w:p w14:paraId="47319CE9">
            <w:pPr>
              <w:jc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0"/>
                <w:szCs w:val="20"/>
                <w:u w:val="none"/>
                <w:lang w:val="en-US" w:eastAsia="zh-CN" w:bidi="ar"/>
              </w:rPr>
              <w:t>中央站</w:t>
            </w:r>
          </w:p>
        </w:tc>
      </w:tr>
      <w:tr w14:paraId="686F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39" w:type="dxa"/>
            <w:vMerge w:val="continue"/>
            <w:shd w:val="clear" w:color="auto" w:fill="auto"/>
            <w:vAlign w:val="center"/>
          </w:tcPr>
          <w:p w14:paraId="22E3E31A">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F6DCC57">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19E882B0">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1、支持对监护设备心电（ECG），ST段，心率(HR)，呼吸(RESP)，血压(NIBP)，血氧(SpO2)，脉率(PR)，体温(TEMP)，双有创血压(IBP)，呼末二氧化碳（EtCO2）、心排（C.O.）、麻醉（AG）等参数值及波形的显示。</w:t>
            </w:r>
          </w:p>
        </w:tc>
        <w:tc>
          <w:tcPr>
            <w:tcW w:w="670" w:type="dxa"/>
            <w:shd w:val="clear" w:color="auto" w:fill="auto"/>
            <w:vAlign w:val="center"/>
          </w:tcPr>
          <w:p w14:paraId="04FB1EF5">
            <w:pPr>
              <w:jc w:val="center"/>
              <w:rPr>
                <w:rFonts w:hint="eastAsia" w:ascii="宋体" w:hAnsi="宋体" w:eastAsia="宋体" w:cs="宋体"/>
                <w:i w:val="0"/>
                <w:iCs w:val="0"/>
                <w:color w:val="000000"/>
                <w:sz w:val="20"/>
                <w:szCs w:val="20"/>
                <w:u w:val="none"/>
              </w:rPr>
            </w:pPr>
          </w:p>
        </w:tc>
      </w:tr>
      <w:tr w14:paraId="1B3A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trPr>
        <w:tc>
          <w:tcPr>
            <w:tcW w:w="739" w:type="dxa"/>
            <w:vMerge w:val="continue"/>
            <w:shd w:val="clear" w:color="auto" w:fill="auto"/>
            <w:vAlign w:val="center"/>
          </w:tcPr>
          <w:p w14:paraId="070D4049">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4E0A3EC">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786D66F8">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2、支持≥22英寸电脑液晶屏显示,宽屏和普屏均可以支持，方便根据科室需求进行灵活配置。</w:t>
            </w:r>
          </w:p>
        </w:tc>
        <w:tc>
          <w:tcPr>
            <w:tcW w:w="670" w:type="dxa"/>
            <w:shd w:val="clear" w:color="auto" w:fill="auto"/>
            <w:vAlign w:val="center"/>
          </w:tcPr>
          <w:p w14:paraId="1534B1E4">
            <w:pPr>
              <w:jc w:val="center"/>
              <w:rPr>
                <w:rFonts w:hint="eastAsia" w:ascii="宋体" w:hAnsi="宋体" w:eastAsia="宋体" w:cs="宋体"/>
                <w:i w:val="0"/>
                <w:iCs w:val="0"/>
                <w:color w:val="000000"/>
                <w:sz w:val="20"/>
                <w:szCs w:val="20"/>
                <w:u w:val="none"/>
              </w:rPr>
            </w:pPr>
          </w:p>
        </w:tc>
      </w:tr>
      <w:tr w14:paraId="2C99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39" w:type="dxa"/>
            <w:vMerge w:val="continue"/>
            <w:shd w:val="clear" w:color="auto" w:fill="auto"/>
            <w:vAlign w:val="center"/>
          </w:tcPr>
          <w:p w14:paraId="45D68206">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51FCAFF">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2EDF0471">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3、支持无线、有线等方式联网通讯，支持床旁监护仪、患者遥测设备共用一套网络联网通讯。</w:t>
            </w:r>
          </w:p>
        </w:tc>
        <w:tc>
          <w:tcPr>
            <w:tcW w:w="670" w:type="dxa"/>
            <w:shd w:val="clear" w:color="auto" w:fill="auto"/>
            <w:vAlign w:val="center"/>
          </w:tcPr>
          <w:p w14:paraId="4A22FEC6">
            <w:pPr>
              <w:jc w:val="center"/>
              <w:rPr>
                <w:rFonts w:hint="eastAsia" w:ascii="宋体" w:hAnsi="宋体" w:eastAsia="宋体" w:cs="宋体"/>
                <w:i w:val="0"/>
                <w:iCs w:val="0"/>
                <w:color w:val="000000"/>
                <w:sz w:val="20"/>
                <w:szCs w:val="20"/>
                <w:u w:val="none"/>
              </w:rPr>
            </w:pPr>
          </w:p>
        </w:tc>
      </w:tr>
      <w:tr w14:paraId="4B98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39" w:type="dxa"/>
            <w:vMerge w:val="continue"/>
            <w:shd w:val="clear" w:color="auto" w:fill="auto"/>
            <w:vAlign w:val="center"/>
          </w:tcPr>
          <w:p w14:paraId="1B0E1E2E">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98D44B9">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70DECF1F">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4、支持对病人远程监护，并具备呼叫病人功能。</w:t>
            </w:r>
          </w:p>
        </w:tc>
        <w:tc>
          <w:tcPr>
            <w:tcW w:w="670" w:type="dxa"/>
            <w:shd w:val="clear" w:color="auto" w:fill="auto"/>
            <w:vAlign w:val="center"/>
          </w:tcPr>
          <w:p w14:paraId="0B7ADC67">
            <w:pPr>
              <w:jc w:val="center"/>
              <w:rPr>
                <w:rFonts w:hint="eastAsia" w:ascii="宋体" w:hAnsi="宋体" w:eastAsia="宋体" w:cs="宋体"/>
                <w:i w:val="0"/>
                <w:iCs w:val="0"/>
                <w:color w:val="000000"/>
                <w:sz w:val="20"/>
                <w:szCs w:val="20"/>
                <w:u w:val="none"/>
              </w:rPr>
            </w:pPr>
          </w:p>
        </w:tc>
      </w:tr>
      <w:tr w14:paraId="58A7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35132FC3">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80D30D9">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7E24C3A2">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5、具有起搏开关指示、呼叫护士图标、无线信号强度指示、遥测设备电池电量指示。</w:t>
            </w:r>
          </w:p>
        </w:tc>
        <w:tc>
          <w:tcPr>
            <w:tcW w:w="670" w:type="dxa"/>
            <w:shd w:val="clear" w:color="auto" w:fill="auto"/>
            <w:vAlign w:val="center"/>
          </w:tcPr>
          <w:p w14:paraId="35A87E9E">
            <w:pPr>
              <w:jc w:val="center"/>
              <w:rPr>
                <w:rFonts w:hint="eastAsia" w:ascii="宋体" w:hAnsi="宋体" w:eastAsia="宋体" w:cs="宋体"/>
                <w:i w:val="0"/>
                <w:iCs w:val="0"/>
                <w:color w:val="000000"/>
                <w:sz w:val="20"/>
                <w:szCs w:val="20"/>
                <w:u w:val="none"/>
              </w:rPr>
            </w:pPr>
          </w:p>
        </w:tc>
      </w:tr>
      <w:tr w14:paraId="7D7D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739" w:type="dxa"/>
            <w:vMerge w:val="continue"/>
            <w:shd w:val="clear" w:color="auto" w:fill="auto"/>
            <w:vAlign w:val="center"/>
          </w:tcPr>
          <w:p w14:paraId="3608981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95219EB">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74DD4228">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6、遥测设备所有报警在中央站显示，提供生理报警，技术报警。</w:t>
            </w:r>
          </w:p>
        </w:tc>
        <w:tc>
          <w:tcPr>
            <w:tcW w:w="670" w:type="dxa"/>
            <w:shd w:val="clear" w:color="auto" w:fill="auto"/>
            <w:vAlign w:val="center"/>
          </w:tcPr>
          <w:p w14:paraId="13F7913B">
            <w:pPr>
              <w:jc w:val="center"/>
              <w:rPr>
                <w:rFonts w:hint="eastAsia" w:ascii="宋体" w:hAnsi="宋体" w:eastAsia="宋体" w:cs="宋体"/>
                <w:i w:val="0"/>
                <w:iCs w:val="0"/>
                <w:color w:val="000000"/>
                <w:sz w:val="20"/>
                <w:szCs w:val="20"/>
                <w:u w:val="none"/>
              </w:rPr>
            </w:pPr>
          </w:p>
        </w:tc>
      </w:tr>
      <w:tr w14:paraId="5B1D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39" w:type="dxa"/>
            <w:vMerge w:val="continue"/>
            <w:shd w:val="clear" w:color="auto" w:fill="auto"/>
            <w:vAlign w:val="center"/>
          </w:tcPr>
          <w:p w14:paraId="7BE7A895">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79A4853">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57DF2FA3">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7、中央监护系统支持选配连接双屏，双屏最大64床接入，遥测设备及床边监护仪可有线、无线混合接入。</w:t>
            </w:r>
          </w:p>
        </w:tc>
        <w:tc>
          <w:tcPr>
            <w:tcW w:w="670" w:type="dxa"/>
            <w:shd w:val="clear" w:color="auto" w:fill="auto"/>
            <w:vAlign w:val="center"/>
          </w:tcPr>
          <w:p w14:paraId="4E41BCF9">
            <w:pPr>
              <w:jc w:val="center"/>
              <w:rPr>
                <w:rFonts w:hint="eastAsia" w:ascii="宋体" w:hAnsi="宋体" w:eastAsia="宋体" w:cs="宋体"/>
                <w:i w:val="0"/>
                <w:iCs w:val="0"/>
                <w:color w:val="000000"/>
                <w:sz w:val="20"/>
                <w:szCs w:val="20"/>
                <w:u w:val="none"/>
              </w:rPr>
            </w:pPr>
          </w:p>
        </w:tc>
      </w:tr>
      <w:tr w14:paraId="48B9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1318CE85">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54D981B">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6DAEC2A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8、具有自动识别床位功能，具有监护仪唯一的设备编号显示及床号显示。</w:t>
            </w:r>
          </w:p>
        </w:tc>
        <w:tc>
          <w:tcPr>
            <w:tcW w:w="670" w:type="dxa"/>
            <w:shd w:val="clear" w:color="auto" w:fill="auto"/>
            <w:vAlign w:val="center"/>
          </w:tcPr>
          <w:p w14:paraId="2BAF90C7">
            <w:pPr>
              <w:jc w:val="center"/>
              <w:rPr>
                <w:rFonts w:hint="eastAsia" w:ascii="宋体" w:hAnsi="宋体" w:eastAsia="宋体" w:cs="宋体"/>
                <w:i w:val="0"/>
                <w:iCs w:val="0"/>
                <w:color w:val="000000"/>
                <w:sz w:val="20"/>
                <w:szCs w:val="20"/>
                <w:u w:val="none"/>
              </w:rPr>
            </w:pPr>
          </w:p>
        </w:tc>
      </w:tr>
      <w:tr w14:paraId="3D76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739" w:type="dxa"/>
            <w:vMerge w:val="continue"/>
            <w:shd w:val="clear" w:color="auto" w:fill="auto"/>
            <w:vAlign w:val="center"/>
          </w:tcPr>
          <w:p w14:paraId="2377478C">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40361DA">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28289A9D">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9、支持单床全信息显示；中央监护系统支持大字体模式显示当前监护窗口或大字体显示所有监护窗口。</w:t>
            </w:r>
          </w:p>
        </w:tc>
        <w:tc>
          <w:tcPr>
            <w:tcW w:w="670" w:type="dxa"/>
            <w:shd w:val="clear" w:color="auto" w:fill="auto"/>
            <w:vAlign w:val="center"/>
          </w:tcPr>
          <w:p w14:paraId="3874868F">
            <w:pPr>
              <w:jc w:val="center"/>
              <w:rPr>
                <w:rFonts w:hint="eastAsia" w:ascii="宋体" w:hAnsi="宋体" w:eastAsia="宋体" w:cs="宋体"/>
                <w:i w:val="0"/>
                <w:iCs w:val="0"/>
                <w:color w:val="000000"/>
                <w:sz w:val="20"/>
                <w:szCs w:val="20"/>
                <w:u w:val="none"/>
              </w:rPr>
            </w:pPr>
          </w:p>
        </w:tc>
      </w:tr>
      <w:tr w14:paraId="731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144F9161">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86FF38E">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34858E8E">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10、支持通过无线网络对遥测设备进行远程控制，包括病人信息、参数配置等内容。</w:t>
            </w:r>
          </w:p>
        </w:tc>
        <w:tc>
          <w:tcPr>
            <w:tcW w:w="670" w:type="dxa"/>
            <w:shd w:val="clear" w:color="auto" w:fill="auto"/>
            <w:vAlign w:val="center"/>
          </w:tcPr>
          <w:p w14:paraId="69CC4656">
            <w:pPr>
              <w:jc w:val="center"/>
              <w:rPr>
                <w:rFonts w:hint="eastAsia" w:ascii="宋体" w:hAnsi="宋体" w:eastAsia="宋体" w:cs="宋体"/>
                <w:i w:val="0"/>
                <w:iCs w:val="0"/>
                <w:color w:val="000000"/>
                <w:sz w:val="20"/>
                <w:szCs w:val="20"/>
                <w:u w:val="none"/>
              </w:rPr>
            </w:pPr>
          </w:p>
        </w:tc>
      </w:tr>
      <w:tr w14:paraId="1526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9" w:type="dxa"/>
            <w:vMerge w:val="continue"/>
            <w:shd w:val="clear" w:color="auto" w:fill="auto"/>
            <w:vAlign w:val="center"/>
          </w:tcPr>
          <w:p w14:paraId="557ED207">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DDE1758">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49746B92">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11、具有趋势图、表数据存储及回顾功能，存储时间≥240小时。</w:t>
            </w:r>
          </w:p>
        </w:tc>
        <w:tc>
          <w:tcPr>
            <w:tcW w:w="670" w:type="dxa"/>
            <w:shd w:val="clear" w:color="auto" w:fill="auto"/>
            <w:vAlign w:val="center"/>
          </w:tcPr>
          <w:p w14:paraId="7C65D818">
            <w:pPr>
              <w:jc w:val="center"/>
              <w:rPr>
                <w:rFonts w:hint="eastAsia" w:ascii="宋体" w:hAnsi="宋体" w:eastAsia="宋体" w:cs="宋体"/>
                <w:i w:val="0"/>
                <w:iCs w:val="0"/>
                <w:color w:val="000000"/>
                <w:sz w:val="20"/>
                <w:szCs w:val="20"/>
                <w:u w:val="none"/>
              </w:rPr>
            </w:pPr>
          </w:p>
        </w:tc>
      </w:tr>
      <w:tr w14:paraId="2C1F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0C645623">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4B6EC4B">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06910901">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12、支持≥20000组报警记录存储、回顾，支持使用外部移动设备保存数据。</w:t>
            </w:r>
          </w:p>
        </w:tc>
        <w:tc>
          <w:tcPr>
            <w:tcW w:w="670" w:type="dxa"/>
            <w:shd w:val="clear" w:color="auto" w:fill="auto"/>
            <w:vAlign w:val="center"/>
          </w:tcPr>
          <w:p w14:paraId="7E853974">
            <w:pPr>
              <w:jc w:val="center"/>
              <w:rPr>
                <w:rFonts w:hint="eastAsia" w:ascii="宋体" w:hAnsi="宋体" w:eastAsia="宋体" w:cs="宋体"/>
                <w:i w:val="0"/>
                <w:iCs w:val="0"/>
                <w:color w:val="000000"/>
                <w:sz w:val="20"/>
                <w:szCs w:val="20"/>
                <w:u w:val="none"/>
              </w:rPr>
            </w:pPr>
          </w:p>
        </w:tc>
      </w:tr>
      <w:tr w14:paraId="4247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613B4FF0">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18B52F7">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6D183B97">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13、支持每台监护设备具备≥240小时的全息生理波形存储和回顾。</w:t>
            </w:r>
          </w:p>
        </w:tc>
        <w:tc>
          <w:tcPr>
            <w:tcW w:w="670" w:type="dxa"/>
            <w:shd w:val="clear" w:color="auto" w:fill="auto"/>
            <w:vAlign w:val="center"/>
          </w:tcPr>
          <w:p w14:paraId="444AD6A9">
            <w:pPr>
              <w:jc w:val="center"/>
              <w:rPr>
                <w:rFonts w:hint="eastAsia" w:ascii="宋体" w:hAnsi="宋体" w:eastAsia="宋体" w:cs="宋体"/>
                <w:i w:val="0"/>
                <w:iCs w:val="0"/>
                <w:color w:val="000000"/>
                <w:sz w:val="20"/>
                <w:szCs w:val="20"/>
                <w:u w:val="none"/>
              </w:rPr>
            </w:pPr>
          </w:p>
        </w:tc>
      </w:tr>
      <w:tr w14:paraId="449F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39" w:type="dxa"/>
            <w:vMerge w:val="continue"/>
            <w:shd w:val="clear" w:color="auto" w:fill="auto"/>
            <w:vAlign w:val="center"/>
          </w:tcPr>
          <w:p w14:paraId="42D7DC01">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916A51F">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39966C2D">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14、支持连接打印机，实现A4纸打印报告。</w:t>
            </w:r>
          </w:p>
        </w:tc>
        <w:tc>
          <w:tcPr>
            <w:tcW w:w="670" w:type="dxa"/>
            <w:shd w:val="clear" w:color="auto" w:fill="auto"/>
            <w:vAlign w:val="center"/>
          </w:tcPr>
          <w:p w14:paraId="4E80787D">
            <w:pPr>
              <w:jc w:val="center"/>
              <w:rPr>
                <w:rFonts w:hint="eastAsia" w:ascii="宋体" w:hAnsi="宋体" w:eastAsia="宋体" w:cs="宋体"/>
                <w:i w:val="0"/>
                <w:iCs w:val="0"/>
                <w:color w:val="000000"/>
                <w:sz w:val="20"/>
                <w:szCs w:val="20"/>
                <w:u w:val="none"/>
              </w:rPr>
            </w:pPr>
          </w:p>
        </w:tc>
      </w:tr>
      <w:tr w14:paraId="40A2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39" w:type="dxa"/>
            <w:vMerge w:val="continue"/>
            <w:shd w:val="clear" w:color="auto" w:fill="auto"/>
            <w:vAlign w:val="center"/>
          </w:tcPr>
          <w:p w14:paraId="2F3B622A">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5110918">
            <w:pPr>
              <w:jc w:val="center"/>
              <w:rPr>
                <w:rFonts w:hint="eastAsia" w:ascii="宋体" w:hAnsi="宋体" w:eastAsia="宋体" w:cs="宋体"/>
                <w:b/>
                <w:bCs/>
                <w:i w:val="0"/>
                <w:iCs w:val="0"/>
                <w:color w:val="000000"/>
                <w:sz w:val="21"/>
                <w:szCs w:val="21"/>
                <w:u w:val="none"/>
              </w:rPr>
            </w:pPr>
          </w:p>
        </w:tc>
        <w:tc>
          <w:tcPr>
            <w:tcW w:w="6045" w:type="dxa"/>
            <w:shd w:val="clear" w:color="auto" w:fill="auto"/>
            <w:vAlign w:val="top"/>
          </w:tcPr>
          <w:p w14:paraId="136D2287">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15、支持选配Web观察站功能。</w:t>
            </w:r>
          </w:p>
        </w:tc>
        <w:tc>
          <w:tcPr>
            <w:tcW w:w="670" w:type="dxa"/>
            <w:shd w:val="clear" w:color="auto" w:fill="auto"/>
            <w:vAlign w:val="center"/>
          </w:tcPr>
          <w:p w14:paraId="03111C99">
            <w:pPr>
              <w:jc w:val="center"/>
              <w:rPr>
                <w:rFonts w:hint="eastAsia" w:ascii="宋体" w:hAnsi="宋体" w:eastAsia="宋体" w:cs="宋体"/>
                <w:i w:val="0"/>
                <w:iCs w:val="0"/>
                <w:color w:val="000000"/>
                <w:sz w:val="20"/>
                <w:szCs w:val="20"/>
                <w:u w:val="none"/>
              </w:rPr>
            </w:pPr>
          </w:p>
        </w:tc>
      </w:tr>
      <w:tr w14:paraId="7771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254FC5C3">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926BA8C">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2D75FE23">
            <w:pPr>
              <w:jc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病人监护仪</w:t>
            </w:r>
          </w:p>
        </w:tc>
      </w:tr>
      <w:tr w14:paraId="4ACF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39" w:type="dxa"/>
            <w:vMerge w:val="continue"/>
            <w:shd w:val="clear" w:color="auto" w:fill="auto"/>
            <w:vAlign w:val="center"/>
          </w:tcPr>
          <w:p w14:paraId="1C862CFF">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74C1811">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59403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r>
              <w:rPr>
                <w:rFonts w:hint="eastAsia"/>
              </w:rPr>
              <w:t>可监测</w:t>
            </w:r>
            <w:r>
              <w:rPr>
                <w:rFonts w:hint="eastAsia" w:ascii="宋体" w:hAnsi="宋体" w:eastAsia="宋体" w:cs="宋体"/>
                <w:i w:val="0"/>
                <w:iCs w:val="0"/>
                <w:color w:val="000000"/>
                <w:kern w:val="0"/>
                <w:sz w:val="22"/>
                <w:szCs w:val="22"/>
                <w:u w:val="none"/>
                <w:lang w:val="en-US" w:eastAsia="zh-CN" w:bidi="ar"/>
              </w:rPr>
              <w:t>心电（ECG）、呼吸(RESP)、无创血压(NIBP)、血氧饱和度(SpO2)、脉搏(PR)、体温（TEMP)。</w:t>
            </w:r>
          </w:p>
        </w:tc>
        <w:tc>
          <w:tcPr>
            <w:tcW w:w="670" w:type="dxa"/>
            <w:shd w:val="clear" w:color="auto" w:fill="auto"/>
            <w:vAlign w:val="center"/>
          </w:tcPr>
          <w:p w14:paraId="478103FC">
            <w:pPr>
              <w:jc w:val="center"/>
              <w:rPr>
                <w:rFonts w:hint="eastAsia" w:ascii="宋体" w:hAnsi="宋体" w:eastAsia="宋体" w:cs="宋体"/>
                <w:i w:val="0"/>
                <w:iCs w:val="0"/>
                <w:color w:val="000000"/>
                <w:sz w:val="20"/>
                <w:szCs w:val="20"/>
                <w:u w:val="none"/>
              </w:rPr>
            </w:pPr>
          </w:p>
        </w:tc>
      </w:tr>
      <w:tr w14:paraId="06EC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739" w:type="dxa"/>
            <w:vMerge w:val="continue"/>
            <w:shd w:val="clear" w:color="auto" w:fill="auto"/>
            <w:vAlign w:val="center"/>
          </w:tcPr>
          <w:p w14:paraId="28CC8169">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6B7E730">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49271E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17、支持选配十二导心电，支持心电信号进行诊断分析，诊断算法通过欧洲CSE数据库测试。</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18E7A061">
            <w:pPr>
              <w:jc w:val="center"/>
              <w:rPr>
                <w:rFonts w:hint="eastAsia" w:ascii="宋体" w:hAnsi="宋体" w:eastAsia="宋体" w:cs="宋体"/>
                <w:i w:val="0"/>
                <w:iCs w:val="0"/>
                <w:color w:val="000000"/>
                <w:sz w:val="20"/>
                <w:szCs w:val="20"/>
                <w:u w:val="none"/>
              </w:rPr>
            </w:pPr>
          </w:p>
        </w:tc>
      </w:tr>
      <w:tr w14:paraId="7C6A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66557FDC">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EC903A4">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4C4E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18、支持选配呼末二氧化碳（EtCO2）。</w:t>
            </w:r>
          </w:p>
        </w:tc>
        <w:tc>
          <w:tcPr>
            <w:tcW w:w="670" w:type="dxa"/>
            <w:shd w:val="clear" w:color="auto" w:fill="auto"/>
            <w:vAlign w:val="center"/>
          </w:tcPr>
          <w:p w14:paraId="0EFC8B0D">
            <w:pPr>
              <w:jc w:val="center"/>
              <w:rPr>
                <w:rFonts w:hint="eastAsia" w:ascii="宋体" w:hAnsi="宋体" w:eastAsia="宋体" w:cs="宋体"/>
                <w:i w:val="0"/>
                <w:iCs w:val="0"/>
                <w:color w:val="000000"/>
                <w:sz w:val="20"/>
                <w:szCs w:val="20"/>
                <w:u w:val="none"/>
              </w:rPr>
            </w:pPr>
          </w:p>
        </w:tc>
      </w:tr>
      <w:tr w14:paraId="2273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39" w:type="dxa"/>
            <w:vMerge w:val="continue"/>
            <w:shd w:val="clear" w:color="auto" w:fill="auto"/>
            <w:vAlign w:val="center"/>
          </w:tcPr>
          <w:p w14:paraId="34C14E95">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5F28463">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F1CB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19、支持选配有创心排（C.O.）、双频指数模块（BIS）、呼吸力学模块（RM）、有创血压（IBP）。</w:t>
            </w:r>
          </w:p>
        </w:tc>
        <w:tc>
          <w:tcPr>
            <w:tcW w:w="670" w:type="dxa"/>
            <w:shd w:val="clear" w:color="auto" w:fill="auto"/>
            <w:vAlign w:val="center"/>
          </w:tcPr>
          <w:p w14:paraId="5ABB69A3">
            <w:pPr>
              <w:jc w:val="center"/>
              <w:rPr>
                <w:rFonts w:hint="eastAsia" w:ascii="宋体" w:hAnsi="宋体" w:eastAsia="宋体" w:cs="宋体"/>
                <w:i w:val="0"/>
                <w:iCs w:val="0"/>
                <w:color w:val="000000"/>
                <w:sz w:val="20"/>
                <w:szCs w:val="20"/>
                <w:u w:val="none"/>
              </w:rPr>
            </w:pPr>
          </w:p>
        </w:tc>
      </w:tr>
      <w:tr w14:paraId="6893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6BF80F77">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0EAFD1D">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BE34A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20、屏幕尺寸≥15英寸大屏幕彩色显示屏，分辨率≥1024*768。</w:t>
            </w:r>
          </w:p>
        </w:tc>
        <w:tc>
          <w:tcPr>
            <w:tcW w:w="670" w:type="dxa"/>
            <w:shd w:val="clear" w:color="auto" w:fill="auto"/>
            <w:vAlign w:val="center"/>
          </w:tcPr>
          <w:p w14:paraId="70B5E2F6">
            <w:pPr>
              <w:jc w:val="center"/>
              <w:rPr>
                <w:rFonts w:hint="eastAsia" w:ascii="宋体" w:hAnsi="宋体" w:eastAsia="宋体" w:cs="宋体"/>
                <w:i w:val="0"/>
                <w:iCs w:val="0"/>
                <w:color w:val="000000"/>
                <w:sz w:val="20"/>
                <w:szCs w:val="20"/>
                <w:u w:val="none"/>
              </w:rPr>
            </w:pPr>
          </w:p>
        </w:tc>
      </w:tr>
      <w:tr w14:paraId="6163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39" w:type="dxa"/>
            <w:vMerge w:val="continue"/>
            <w:shd w:val="clear" w:color="auto" w:fill="auto"/>
            <w:vAlign w:val="center"/>
          </w:tcPr>
          <w:p w14:paraId="33C8CCFF">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FA9A60A">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4DF0B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21、支持同屏显示13道波形，可根据医护人员临床观察需要自由组合4个参数和波形进行大字体显示功能，使得医护人员可以全方位、远距离清晰观察。</w:t>
            </w:r>
          </w:p>
        </w:tc>
        <w:tc>
          <w:tcPr>
            <w:tcW w:w="670" w:type="dxa"/>
            <w:shd w:val="clear" w:color="auto" w:fill="auto"/>
            <w:vAlign w:val="center"/>
          </w:tcPr>
          <w:p w14:paraId="0E7BC16E">
            <w:pPr>
              <w:jc w:val="center"/>
              <w:rPr>
                <w:rFonts w:hint="eastAsia" w:ascii="宋体" w:hAnsi="宋体" w:eastAsia="宋体" w:cs="宋体"/>
                <w:i w:val="0"/>
                <w:iCs w:val="0"/>
                <w:color w:val="000000"/>
                <w:sz w:val="20"/>
                <w:szCs w:val="20"/>
                <w:u w:val="none"/>
              </w:rPr>
            </w:pPr>
          </w:p>
        </w:tc>
      </w:tr>
      <w:tr w14:paraId="4752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trPr>
        <w:tc>
          <w:tcPr>
            <w:tcW w:w="739" w:type="dxa"/>
            <w:vMerge w:val="continue"/>
            <w:shd w:val="clear" w:color="auto" w:fill="auto"/>
            <w:vAlign w:val="center"/>
          </w:tcPr>
          <w:p w14:paraId="011F575E">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74C47D1">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EFBB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22、主界面上支持自定义快捷键操作，且可根据不同医护人员使用习惯，调整快捷键数量和顺序，提高科室工作效率。</w:t>
            </w:r>
          </w:p>
        </w:tc>
        <w:tc>
          <w:tcPr>
            <w:tcW w:w="670" w:type="dxa"/>
            <w:shd w:val="clear" w:color="auto" w:fill="auto"/>
            <w:vAlign w:val="center"/>
          </w:tcPr>
          <w:p w14:paraId="7B58B19A">
            <w:pPr>
              <w:jc w:val="center"/>
              <w:rPr>
                <w:rFonts w:hint="eastAsia" w:ascii="宋体" w:hAnsi="宋体" w:eastAsia="宋体" w:cs="宋体"/>
                <w:i w:val="0"/>
                <w:iCs w:val="0"/>
                <w:color w:val="000000"/>
                <w:sz w:val="20"/>
                <w:szCs w:val="20"/>
                <w:u w:val="none"/>
              </w:rPr>
            </w:pPr>
          </w:p>
        </w:tc>
      </w:tr>
      <w:tr w14:paraId="4FC6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739" w:type="dxa"/>
            <w:vMerge w:val="continue"/>
            <w:shd w:val="clear" w:color="auto" w:fill="auto"/>
            <w:vAlign w:val="center"/>
          </w:tcPr>
          <w:p w14:paraId="00F07412">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1454BE1">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61807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23、弹出的各界面窗口可拖曳，便于观察窗口后面内容。</w:t>
            </w:r>
          </w:p>
        </w:tc>
        <w:tc>
          <w:tcPr>
            <w:tcW w:w="670" w:type="dxa"/>
            <w:shd w:val="clear" w:color="auto" w:fill="auto"/>
            <w:vAlign w:val="center"/>
          </w:tcPr>
          <w:p w14:paraId="7D6B8ADB">
            <w:pPr>
              <w:jc w:val="center"/>
              <w:rPr>
                <w:rFonts w:hint="eastAsia" w:ascii="宋体" w:hAnsi="宋体" w:eastAsia="宋体" w:cs="宋体"/>
                <w:i w:val="0"/>
                <w:iCs w:val="0"/>
                <w:color w:val="000000"/>
                <w:sz w:val="20"/>
                <w:szCs w:val="20"/>
                <w:u w:val="none"/>
              </w:rPr>
            </w:pPr>
          </w:p>
        </w:tc>
      </w:tr>
      <w:tr w14:paraId="6049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0B21804F">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F0DDE19">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16F9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24、支持待机模式、夜间模式、演示模式、隐私模式、插管模式、NFC模式等。</w:t>
            </w:r>
          </w:p>
        </w:tc>
        <w:tc>
          <w:tcPr>
            <w:tcW w:w="670" w:type="dxa"/>
            <w:shd w:val="clear" w:color="auto" w:fill="auto"/>
            <w:vAlign w:val="center"/>
          </w:tcPr>
          <w:p w14:paraId="383146FF">
            <w:pPr>
              <w:jc w:val="center"/>
              <w:rPr>
                <w:rFonts w:hint="eastAsia" w:ascii="宋体" w:hAnsi="宋体" w:eastAsia="宋体" w:cs="宋体"/>
                <w:i w:val="0"/>
                <w:iCs w:val="0"/>
                <w:color w:val="000000"/>
                <w:sz w:val="20"/>
                <w:szCs w:val="20"/>
                <w:u w:val="none"/>
              </w:rPr>
            </w:pPr>
          </w:p>
        </w:tc>
      </w:tr>
      <w:tr w14:paraId="18C68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5" w:hRule="atLeast"/>
        </w:trPr>
        <w:tc>
          <w:tcPr>
            <w:tcW w:w="739" w:type="dxa"/>
            <w:vMerge w:val="continue"/>
            <w:shd w:val="clear" w:color="auto" w:fill="auto"/>
            <w:vAlign w:val="center"/>
          </w:tcPr>
          <w:p w14:paraId="1BB4CC25">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9E28A58">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FFFC5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25、无需返厂即可在线升级12导心电功能。提供导联类型自动识别功能，具备智能导联脱落监测功能，导联脱落情况下仍能保持监护。</w:t>
            </w:r>
          </w:p>
        </w:tc>
        <w:tc>
          <w:tcPr>
            <w:tcW w:w="670" w:type="dxa"/>
            <w:shd w:val="clear" w:color="auto" w:fill="auto"/>
            <w:vAlign w:val="center"/>
          </w:tcPr>
          <w:p w14:paraId="147CD699">
            <w:pPr>
              <w:jc w:val="center"/>
              <w:rPr>
                <w:rFonts w:hint="eastAsia" w:ascii="宋体" w:hAnsi="宋体" w:eastAsia="宋体" w:cs="宋体"/>
                <w:i w:val="0"/>
                <w:iCs w:val="0"/>
                <w:color w:val="000000"/>
                <w:sz w:val="20"/>
                <w:szCs w:val="20"/>
                <w:u w:val="none"/>
              </w:rPr>
            </w:pPr>
          </w:p>
        </w:tc>
      </w:tr>
      <w:tr w14:paraId="4254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34B38B8D">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88D5430">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C29F6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26、支持房颤心律失常分析功能，支持不少于20种实时心律失常分析，提供证明材料。</w:t>
            </w:r>
          </w:p>
        </w:tc>
        <w:tc>
          <w:tcPr>
            <w:tcW w:w="670" w:type="dxa"/>
            <w:shd w:val="clear" w:color="auto" w:fill="auto"/>
            <w:vAlign w:val="center"/>
          </w:tcPr>
          <w:p w14:paraId="1BF7718A">
            <w:pPr>
              <w:jc w:val="center"/>
              <w:rPr>
                <w:rFonts w:hint="eastAsia" w:ascii="宋体" w:hAnsi="宋体" w:eastAsia="宋体" w:cs="宋体"/>
                <w:i w:val="0"/>
                <w:iCs w:val="0"/>
                <w:color w:val="000000"/>
                <w:sz w:val="20"/>
                <w:szCs w:val="20"/>
                <w:u w:val="none"/>
              </w:rPr>
            </w:pPr>
          </w:p>
        </w:tc>
      </w:tr>
      <w:tr w14:paraId="3B4C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8" w:hRule="atLeast"/>
        </w:trPr>
        <w:tc>
          <w:tcPr>
            <w:tcW w:w="739" w:type="dxa"/>
            <w:vMerge w:val="continue"/>
            <w:shd w:val="clear" w:color="auto" w:fill="auto"/>
            <w:vAlign w:val="center"/>
          </w:tcPr>
          <w:p w14:paraId="225B5D5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805A940">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413E00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27、在任何滤波模式下均可监测ST值。提供心电ST段分析功能，支持在专门的窗口中分组显示心脏前壁、下壁和侧壁的ST实时片段和参考片段。</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32683377">
            <w:pPr>
              <w:jc w:val="center"/>
              <w:rPr>
                <w:rFonts w:hint="eastAsia" w:ascii="宋体" w:hAnsi="宋体" w:eastAsia="宋体" w:cs="宋体"/>
                <w:i w:val="0"/>
                <w:iCs w:val="0"/>
                <w:color w:val="000000"/>
                <w:sz w:val="20"/>
                <w:szCs w:val="20"/>
                <w:u w:val="none"/>
              </w:rPr>
            </w:pPr>
          </w:p>
        </w:tc>
      </w:tr>
      <w:tr w14:paraId="728D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1" w:hRule="atLeast"/>
        </w:trPr>
        <w:tc>
          <w:tcPr>
            <w:tcW w:w="739" w:type="dxa"/>
            <w:vMerge w:val="continue"/>
            <w:shd w:val="clear" w:color="auto" w:fill="auto"/>
            <w:vAlign w:val="center"/>
          </w:tcPr>
          <w:p w14:paraId="378FE03E">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FDA1D9D">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CB231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28、在诊断模式、监护模式和手术模式下，均支持进行ST段分析，提升心电监护病人的安全性</w:t>
            </w:r>
            <w:r>
              <w:rPr>
                <w:rFonts w:hint="eastAsia" w:ascii="宋体" w:hAnsi="宋体" w:eastAsia="宋体" w:cs="宋体"/>
                <w:b/>
                <w:bCs/>
                <w:i w:val="0"/>
                <w:iCs w:val="0"/>
                <w:color w:val="FF0000"/>
                <w:kern w:val="0"/>
                <w:sz w:val="22"/>
                <w:szCs w:val="22"/>
                <w:highlight w:val="none"/>
                <w:u w:val="none"/>
                <w:lang w:val="en-US" w:eastAsia="zh-CN" w:bidi="ar"/>
              </w:rPr>
              <w:t>（需提供图片和产品彩页或产品说明书或技术白皮书佐证）</w:t>
            </w:r>
          </w:p>
        </w:tc>
        <w:tc>
          <w:tcPr>
            <w:tcW w:w="670" w:type="dxa"/>
            <w:shd w:val="clear" w:color="auto" w:fill="auto"/>
            <w:vAlign w:val="center"/>
          </w:tcPr>
          <w:p w14:paraId="0EDC46A1">
            <w:pPr>
              <w:jc w:val="center"/>
              <w:rPr>
                <w:rFonts w:hint="eastAsia" w:ascii="宋体" w:hAnsi="宋体" w:eastAsia="宋体" w:cs="宋体"/>
                <w:i w:val="0"/>
                <w:iCs w:val="0"/>
                <w:color w:val="000000"/>
                <w:sz w:val="20"/>
                <w:szCs w:val="20"/>
                <w:u w:val="none"/>
              </w:rPr>
            </w:pPr>
          </w:p>
        </w:tc>
      </w:tr>
      <w:tr w14:paraId="515C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39" w:type="dxa"/>
            <w:vMerge w:val="continue"/>
            <w:shd w:val="clear" w:color="auto" w:fill="auto"/>
            <w:vAlign w:val="center"/>
          </w:tcPr>
          <w:p w14:paraId="4E381EBE">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38EB33C">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0DB9C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29、在诊断模式下，支持不低于94dB的共模抑制比；在监护、手术模式下，支持不低于105dB的共模抑制比。</w:t>
            </w:r>
          </w:p>
        </w:tc>
        <w:tc>
          <w:tcPr>
            <w:tcW w:w="670" w:type="dxa"/>
            <w:shd w:val="clear" w:color="auto" w:fill="auto"/>
            <w:vAlign w:val="center"/>
          </w:tcPr>
          <w:p w14:paraId="7CA5C15D">
            <w:pPr>
              <w:jc w:val="center"/>
              <w:rPr>
                <w:rFonts w:hint="eastAsia" w:ascii="宋体" w:hAnsi="宋体" w:eastAsia="宋体" w:cs="宋体"/>
                <w:i w:val="0"/>
                <w:iCs w:val="0"/>
                <w:color w:val="000000"/>
                <w:sz w:val="20"/>
                <w:szCs w:val="20"/>
                <w:u w:val="none"/>
              </w:rPr>
            </w:pPr>
          </w:p>
        </w:tc>
      </w:tr>
      <w:tr w14:paraId="7F37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03D69C4B">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3B34D64">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0263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6"/>
                <w:lang w:val="en-US" w:eastAsia="zh-CN" w:bidi="ar"/>
              </w:rPr>
              <w:t>30、支持0.67Hz的高通滤波，确保波形有更好的稳定性。</w:t>
            </w:r>
            <w:r>
              <w:rPr>
                <w:rFonts w:hint="eastAsia" w:ascii="宋体" w:hAnsi="宋体" w:eastAsia="宋体" w:cs="宋体"/>
                <w:b/>
                <w:bCs/>
                <w:i w:val="0"/>
                <w:iCs w:val="0"/>
                <w:color w:val="FF0000"/>
                <w:kern w:val="0"/>
                <w:sz w:val="22"/>
                <w:szCs w:val="22"/>
                <w:u w:val="none"/>
                <w:lang w:val="en-US" w:eastAsia="zh-CN" w:bidi="ar"/>
              </w:rPr>
              <w:t>（需提供机器界面图片）</w:t>
            </w:r>
          </w:p>
        </w:tc>
        <w:tc>
          <w:tcPr>
            <w:tcW w:w="670" w:type="dxa"/>
            <w:shd w:val="clear" w:color="auto" w:fill="auto"/>
            <w:vAlign w:val="center"/>
          </w:tcPr>
          <w:p w14:paraId="05225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985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39" w:type="dxa"/>
            <w:vMerge w:val="continue"/>
            <w:shd w:val="clear" w:color="auto" w:fill="auto"/>
            <w:vAlign w:val="center"/>
          </w:tcPr>
          <w:p w14:paraId="763D7C8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498440A">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37A36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31、支持NIBP清洁模式，对NIBP气路进行维护，减少气路障碍，有效延长泵使用寿命，提高测量准确性</w:t>
            </w:r>
          </w:p>
        </w:tc>
        <w:tc>
          <w:tcPr>
            <w:tcW w:w="670" w:type="dxa"/>
            <w:shd w:val="clear" w:color="auto" w:fill="auto"/>
            <w:vAlign w:val="center"/>
          </w:tcPr>
          <w:p w14:paraId="2CD75738">
            <w:pPr>
              <w:jc w:val="center"/>
              <w:rPr>
                <w:rFonts w:hint="eastAsia" w:ascii="宋体" w:hAnsi="宋体" w:eastAsia="宋体" w:cs="宋体"/>
                <w:i w:val="0"/>
                <w:iCs w:val="0"/>
                <w:color w:val="000000"/>
                <w:sz w:val="22"/>
                <w:szCs w:val="22"/>
                <w:u w:val="none"/>
              </w:rPr>
            </w:pPr>
          </w:p>
        </w:tc>
      </w:tr>
      <w:tr w14:paraId="566F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0" w:hRule="atLeast"/>
        </w:trPr>
        <w:tc>
          <w:tcPr>
            <w:tcW w:w="739" w:type="dxa"/>
            <w:vMerge w:val="continue"/>
            <w:shd w:val="clear" w:color="auto" w:fill="auto"/>
            <w:vAlign w:val="center"/>
          </w:tcPr>
          <w:p w14:paraId="4E461220">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5F0BE35">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910A0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除AC电源指示灯外，机器配备三个独立的报警灯，显示在三个不同的报警灯位置，并且可以同时显示且分别显示，以提供更直观的报警提醒；含静音指示灯，在静音状态下常亮，以避免医护人员疏漏报警状态。</w:t>
            </w:r>
            <w:r>
              <w:rPr>
                <w:rFonts w:hint="eastAsia" w:ascii="宋体" w:hAnsi="宋体" w:eastAsia="宋体" w:cs="宋体"/>
                <w:b/>
                <w:bCs/>
                <w:i w:val="0"/>
                <w:iCs w:val="0"/>
                <w:color w:val="FF0000"/>
                <w:kern w:val="0"/>
                <w:sz w:val="22"/>
                <w:szCs w:val="22"/>
                <w:highlight w:val="none"/>
                <w:u w:val="none"/>
                <w:lang w:val="en-US" w:eastAsia="zh-CN" w:bidi="ar"/>
              </w:rPr>
              <w:t>（需提供机器实物图片和产品彩页或产品说明书或技术白皮书佐证）</w:t>
            </w:r>
          </w:p>
        </w:tc>
        <w:tc>
          <w:tcPr>
            <w:tcW w:w="670" w:type="dxa"/>
            <w:shd w:val="clear" w:color="auto" w:fill="auto"/>
            <w:vAlign w:val="center"/>
          </w:tcPr>
          <w:p w14:paraId="6D980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097F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39" w:type="dxa"/>
            <w:vMerge w:val="continue"/>
            <w:shd w:val="clear" w:color="auto" w:fill="auto"/>
            <w:vAlign w:val="center"/>
          </w:tcPr>
          <w:p w14:paraId="387F2843">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2A4D710">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DCBB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33、支持AES加密和TLS数据传输加密，支持TLS数字证书；支持网络流量监控及控制，提供更高的网络安全管控，防止恶意软件攻击。</w:t>
            </w:r>
            <w:r>
              <w:rPr>
                <w:rFonts w:hint="eastAsia" w:ascii="宋体" w:hAnsi="宋体" w:eastAsia="宋体" w:cs="宋体"/>
                <w:b/>
                <w:bCs/>
                <w:i w:val="0"/>
                <w:iCs w:val="0"/>
                <w:color w:val="FF0000"/>
                <w:kern w:val="0"/>
                <w:sz w:val="22"/>
                <w:szCs w:val="22"/>
                <w:u w:val="none"/>
                <w:lang w:val="en-US" w:eastAsia="zh-CN" w:bidi="ar"/>
              </w:rPr>
              <w:t>（需提供机器界面图片）</w:t>
            </w:r>
          </w:p>
        </w:tc>
        <w:tc>
          <w:tcPr>
            <w:tcW w:w="670" w:type="dxa"/>
            <w:shd w:val="clear" w:color="auto" w:fill="auto"/>
            <w:vAlign w:val="center"/>
          </w:tcPr>
          <w:p w14:paraId="15912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3F78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62CFBF91">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08EFCF8">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6455C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34、支持用户自行安装激光打印机驱动。</w:t>
            </w:r>
          </w:p>
        </w:tc>
        <w:tc>
          <w:tcPr>
            <w:tcW w:w="670" w:type="dxa"/>
            <w:shd w:val="clear" w:color="auto" w:fill="auto"/>
            <w:vAlign w:val="center"/>
          </w:tcPr>
          <w:p w14:paraId="304437EE">
            <w:pPr>
              <w:jc w:val="center"/>
              <w:rPr>
                <w:rFonts w:hint="eastAsia" w:ascii="宋体" w:hAnsi="宋体" w:eastAsia="宋体" w:cs="宋体"/>
                <w:i w:val="0"/>
                <w:iCs w:val="0"/>
                <w:color w:val="000000"/>
                <w:sz w:val="22"/>
                <w:szCs w:val="22"/>
                <w:u w:val="none"/>
              </w:rPr>
            </w:pPr>
          </w:p>
        </w:tc>
      </w:tr>
      <w:tr w14:paraId="0ABE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39" w:type="dxa"/>
            <w:vMerge w:val="continue"/>
            <w:shd w:val="clear" w:color="auto" w:fill="auto"/>
            <w:vAlign w:val="center"/>
          </w:tcPr>
          <w:p w14:paraId="37F24DFD">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17B68BC">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A0FC0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35、监护仪可配备电池总容量不低于9600mAh，电池支持监护仪连续工作时长不得低于8小时。</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15A39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24C4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1A9B7316">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A3CA640">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4B1C46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36、至少</w:t>
            </w:r>
            <w:r>
              <w:rPr>
                <w:rFonts w:hint="eastAsia"/>
                <w:lang w:val="en-US" w:eastAsia="zh-CN"/>
              </w:rPr>
              <w:t>支持</w:t>
            </w:r>
            <w:r>
              <w:rPr>
                <w:rFonts w:hint="eastAsia" w:ascii="宋体" w:hAnsi="宋体" w:eastAsia="宋体" w:cs="宋体"/>
                <w:i w:val="0"/>
                <w:iCs w:val="0"/>
                <w:color w:val="000000"/>
                <w:kern w:val="0"/>
                <w:sz w:val="22"/>
                <w:szCs w:val="22"/>
                <w:u w:val="none"/>
                <w:lang w:val="en-US" w:eastAsia="zh-CN" w:bidi="ar"/>
              </w:rPr>
              <w:t>720小时连续参数数据。</w:t>
            </w:r>
          </w:p>
        </w:tc>
        <w:tc>
          <w:tcPr>
            <w:tcW w:w="670" w:type="dxa"/>
            <w:shd w:val="clear" w:color="auto" w:fill="auto"/>
            <w:vAlign w:val="center"/>
          </w:tcPr>
          <w:p w14:paraId="7EF9776E">
            <w:pPr>
              <w:jc w:val="center"/>
              <w:rPr>
                <w:rFonts w:hint="eastAsia" w:ascii="宋体" w:hAnsi="宋体" w:eastAsia="宋体" w:cs="宋体"/>
                <w:i w:val="0"/>
                <w:iCs w:val="0"/>
                <w:color w:val="000000"/>
                <w:sz w:val="22"/>
                <w:szCs w:val="22"/>
                <w:u w:val="none"/>
              </w:rPr>
            </w:pPr>
          </w:p>
        </w:tc>
      </w:tr>
      <w:tr w14:paraId="2B76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237B9645">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20DA0B4">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D769C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37、至少</w:t>
            </w:r>
            <w:r>
              <w:rPr>
                <w:rFonts w:hint="eastAsia"/>
                <w:lang w:val="en-US" w:eastAsia="zh-CN"/>
              </w:rPr>
              <w:t>支持</w:t>
            </w:r>
            <w:r>
              <w:rPr>
                <w:rFonts w:hint="eastAsia" w:ascii="宋体" w:hAnsi="宋体" w:eastAsia="宋体" w:cs="宋体"/>
                <w:i w:val="0"/>
                <w:iCs w:val="0"/>
                <w:color w:val="000000"/>
                <w:kern w:val="0"/>
                <w:sz w:val="22"/>
                <w:szCs w:val="22"/>
                <w:u w:val="none"/>
                <w:lang w:val="en-US" w:eastAsia="zh-CN" w:bidi="ar"/>
              </w:rPr>
              <w:t>68000组无创血压测量回顾。</w:t>
            </w:r>
          </w:p>
        </w:tc>
        <w:tc>
          <w:tcPr>
            <w:tcW w:w="670" w:type="dxa"/>
            <w:shd w:val="clear" w:color="auto" w:fill="auto"/>
            <w:vAlign w:val="center"/>
          </w:tcPr>
          <w:p w14:paraId="0509252F">
            <w:pPr>
              <w:jc w:val="center"/>
              <w:rPr>
                <w:rFonts w:hint="eastAsia" w:ascii="宋体" w:hAnsi="宋体" w:eastAsia="宋体" w:cs="宋体"/>
                <w:i w:val="0"/>
                <w:iCs w:val="0"/>
                <w:color w:val="000000"/>
                <w:sz w:val="22"/>
                <w:szCs w:val="22"/>
                <w:u w:val="none"/>
              </w:rPr>
            </w:pPr>
          </w:p>
        </w:tc>
      </w:tr>
      <w:tr w14:paraId="3600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39" w:type="dxa"/>
            <w:vMerge w:val="continue"/>
            <w:shd w:val="clear" w:color="auto" w:fill="auto"/>
            <w:vAlign w:val="center"/>
          </w:tcPr>
          <w:p w14:paraId="12B32448">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E7C0DEB">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38C31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38、至少</w:t>
            </w:r>
            <w:r>
              <w:rPr>
                <w:rFonts w:hint="eastAsia"/>
                <w:lang w:val="en-US" w:eastAsia="zh-CN"/>
              </w:rPr>
              <w:t>支持</w:t>
            </w:r>
            <w:r>
              <w:rPr>
                <w:rFonts w:hint="eastAsia" w:ascii="宋体" w:hAnsi="宋体" w:eastAsia="宋体" w:cs="宋体"/>
                <w:i w:val="0"/>
                <w:iCs w:val="0"/>
                <w:color w:val="000000"/>
                <w:kern w:val="0"/>
                <w:sz w:val="22"/>
                <w:szCs w:val="22"/>
                <w:u w:val="none"/>
                <w:lang w:val="en-US" w:eastAsia="zh-CN" w:bidi="ar"/>
              </w:rPr>
              <w:t>4500组报警事件/心律失常事件回顾。</w:t>
            </w:r>
          </w:p>
        </w:tc>
        <w:tc>
          <w:tcPr>
            <w:tcW w:w="670" w:type="dxa"/>
            <w:shd w:val="clear" w:color="auto" w:fill="auto"/>
            <w:vAlign w:val="center"/>
          </w:tcPr>
          <w:p w14:paraId="2089E2FE">
            <w:pPr>
              <w:jc w:val="center"/>
              <w:rPr>
                <w:rFonts w:hint="eastAsia" w:ascii="宋体" w:hAnsi="宋体" w:eastAsia="宋体" w:cs="宋体"/>
                <w:i w:val="0"/>
                <w:iCs w:val="0"/>
                <w:color w:val="000000"/>
                <w:sz w:val="22"/>
                <w:szCs w:val="22"/>
                <w:u w:val="none"/>
              </w:rPr>
            </w:pPr>
          </w:p>
        </w:tc>
      </w:tr>
      <w:tr w14:paraId="75A7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079B6AA5">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868138D">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A6372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39、至少</w:t>
            </w:r>
            <w:r>
              <w:rPr>
                <w:rFonts w:hint="eastAsia"/>
                <w:lang w:val="en-US" w:eastAsia="zh-CN"/>
              </w:rPr>
              <w:t>支持</w:t>
            </w:r>
            <w:r>
              <w:rPr>
                <w:rFonts w:hint="eastAsia" w:ascii="宋体" w:hAnsi="宋体" w:eastAsia="宋体" w:cs="宋体"/>
                <w:i w:val="0"/>
                <w:iCs w:val="0"/>
                <w:color w:val="000000"/>
                <w:kern w:val="0"/>
                <w:sz w:val="22"/>
                <w:szCs w:val="22"/>
                <w:u w:val="none"/>
                <w:lang w:val="en-US" w:eastAsia="zh-CN" w:bidi="ar"/>
              </w:rPr>
              <w:t>720小时全息波形储存回顾。</w:t>
            </w:r>
          </w:p>
        </w:tc>
        <w:tc>
          <w:tcPr>
            <w:tcW w:w="670" w:type="dxa"/>
            <w:shd w:val="clear" w:color="auto" w:fill="auto"/>
            <w:vAlign w:val="center"/>
          </w:tcPr>
          <w:p w14:paraId="3CB7AA27">
            <w:pPr>
              <w:jc w:val="center"/>
              <w:rPr>
                <w:rFonts w:hint="eastAsia" w:ascii="宋体" w:hAnsi="宋体" w:eastAsia="宋体" w:cs="宋体"/>
                <w:i w:val="0"/>
                <w:iCs w:val="0"/>
                <w:color w:val="000000"/>
                <w:sz w:val="22"/>
                <w:szCs w:val="22"/>
                <w:u w:val="none"/>
              </w:rPr>
            </w:pPr>
          </w:p>
        </w:tc>
      </w:tr>
      <w:tr w14:paraId="489C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458EA746">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F94115B">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D468A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40、具备USB数据接口、SD卡数据接口。</w:t>
            </w:r>
          </w:p>
        </w:tc>
        <w:tc>
          <w:tcPr>
            <w:tcW w:w="670" w:type="dxa"/>
            <w:shd w:val="clear" w:color="auto" w:fill="auto"/>
            <w:vAlign w:val="center"/>
          </w:tcPr>
          <w:p w14:paraId="393FE98C">
            <w:pPr>
              <w:jc w:val="center"/>
              <w:rPr>
                <w:rFonts w:hint="eastAsia" w:ascii="宋体" w:hAnsi="宋体" w:eastAsia="宋体" w:cs="宋体"/>
                <w:i w:val="0"/>
                <w:iCs w:val="0"/>
                <w:color w:val="000000"/>
                <w:sz w:val="22"/>
                <w:szCs w:val="22"/>
                <w:u w:val="none"/>
              </w:rPr>
            </w:pPr>
          </w:p>
        </w:tc>
      </w:tr>
      <w:tr w14:paraId="2AEF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739" w:type="dxa"/>
            <w:vMerge w:val="continue"/>
            <w:shd w:val="clear" w:color="auto" w:fill="auto"/>
            <w:vAlign w:val="center"/>
          </w:tcPr>
          <w:p w14:paraId="12C172B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866F23E">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2F3D3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41、支持选配U盘/SD卡可实现监测数据存储容量扩充。</w:t>
            </w:r>
          </w:p>
        </w:tc>
        <w:tc>
          <w:tcPr>
            <w:tcW w:w="670" w:type="dxa"/>
            <w:shd w:val="clear" w:color="auto" w:fill="auto"/>
            <w:vAlign w:val="center"/>
          </w:tcPr>
          <w:p w14:paraId="70EC1DEB">
            <w:pPr>
              <w:jc w:val="center"/>
              <w:rPr>
                <w:rFonts w:hint="eastAsia" w:ascii="宋体" w:hAnsi="宋体" w:eastAsia="宋体" w:cs="宋体"/>
                <w:i w:val="0"/>
                <w:iCs w:val="0"/>
                <w:color w:val="000000"/>
                <w:sz w:val="22"/>
                <w:szCs w:val="22"/>
                <w:u w:val="none"/>
              </w:rPr>
            </w:pPr>
          </w:p>
        </w:tc>
      </w:tr>
      <w:tr w14:paraId="7298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5F40C4DE">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9C5F25A">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04B17CA9">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遥测系统：</w:t>
            </w:r>
          </w:p>
        </w:tc>
      </w:tr>
      <w:tr w14:paraId="023E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9" w:type="dxa"/>
            <w:vMerge w:val="continue"/>
            <w:shd w:val="clear" w:color="auto" w:fill="auto"/>
            <w:vAlign w:val="center"/>
          </w:tcPr>
          <w:p w14:paraId="738DCECF">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F37E8A6">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C45C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6"/>
                <w:lang w:val="en-US" w:eastAsia="zh-CN" w:bidi="ar"/>
              </w:rPr>
              <w:t>42.遥测监护仪监测参数：心电（ECG）、呼吸（RESP）、血氧饱和度(SpO2)、脉搏(PR)</w:t>
            </w:r>
            <w:r>
              <w:rPr>
                <w:rStyle w:val="76"/>
                <w:color w:val="auto"/>
                <w:lang w:val="en-US" w:eastAsia="zh-CN" w:bidi="ar"/>
              </w:rPr>
              <w:t>，</w:t>
            </w:r>
            <w:r>
              <w:rPr>
                <w:rStyle w:val="77"/>
                <w:color w:val="auto"/>
                <w:lang w:val="en-US" w:eastAsia="zh-CN" w:bidi="ar"/>
              </w:rPr>
              <w:t>体温（TEMP)；</w:t>
            </w:r>
            <w:r>
              <w:rPr>
                <w:rStyle w:val="76"/>
                <w:lang w:val="en-US" w:eastAsia="zh-CN" w:bidi="ar"/>
              </w:rPr>
              <w:t>具有显示屏，可以观察病人生命体征。</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noWrap/>
            <w:vAlign w:val="center"/>
          </w:tcPr>
          <w:p w14:paraId="0919B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9CE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739" w:type="dxa"/>
            <w:vMerge w:val="continue"/>
            <w:shd w:val="clear" w:color="auto" w:fill="auto"/>
            <w:vAlign w:val="center"/>
          </w:tcPr>
          <w:p w14:paraId="28126761">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5F52D52">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171535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6"/>
                <w:lang w:val="en-US" w:eastAsia="zh-CN" w:bidi="ar"/>
              </w:rPr>
              <w:t>43.防水：防水等级≥</w:t>
            </w:r>
            <w:r>
              <w:rPr>
                <w:rStyle w:val="77"/>
                <w:lang w:val="en-US" w:eastAsia="zh-CN" w:bidi="ar"/>
              </w:rPr>
              <w:t>IP67</w:t>
            </w:r>
            <w:r>
              <w:rPr>
                <w:rStyle w:val="76"/>
                <w:lang w:val="en-US" w:eastAsia="zh-CN" w:bidi="ar"/>
              </w:rPr>
              <w:t>，可短时间泡水。</w:t>
            </w:r>
          </w:p>
        </w:tc>
        <w:tc>
          <w:tcPr>
            <w:tcW w:w="670" w:type="dxa"/>
            <w:shd w:val="clear" w:color="auto" w:fill="auto"/>
            <w:noWrap/>
            <w:vAlign w:val="center"/>
          </w:tcPr>
          <w:p w14:paraId="27FC100E">
            <w:pPr>
              <w:jc w:val="center"/>
              <w:rPr>
                <w:rFonts w:hint="eastAsia" w:ascii="宋体" w:hAnsi="宋体" w:eastAsia="宋体" w:cs="宋体"/>
                <w:i w:val="0"/>
                <w:iCs w:val="0"/>
                <w:color w:val="000000"/>
                <w:sz w:val="22"/>
                <w:szCs w:val="22"/>
                <w:u w:val="none"/>
              </w:rPr>
            </w:pPr>
          </w:p>
        </w:tc>
      </w:tr>
      <w:tr w14:paraId="1977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39" w:type="dxa"/>
            <w:vMerge w:val="continue"/>
            <w:shd w:val="clear" w:color="auto" w:fill="auto"/>
            <w:vAlign w:val="center"/>
          </w:tcPr>
          <w:p w14:paraId="5A9B1FCD">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EC0769B">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1610F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44.遥测监护仪屏幕显示内容：床号、参数名称、参数测量值、参数测量波形（ECG波形或PLETH波形显示）、血氧灌注棒图、联网符号、无线信号强度指示、电池电量指示。</w:t>
            </w:r>
            <w:r>
              <w:rPr>
                <w:rFonts w:hint="eastAsia" w:ascii="宋体" w:hAnsi="宋体" w:eastAsia="宋体" w:cs="宋体"/>
                <w:b/>
                <w:bCs/>
                <w:i w:val="0"/>
                <w:iCs w:val="0"/>
                <w:color w:val="FF0000"/>
                <w:kern w:val="0"/>
                <w:sz w:val="22"/>
                <w:szCs w:val="22"/>
                <w:u w:val="none"/>
                <w:lang w:val="en-US" w:eastAsia="zh-CN" w:bidi="ar"/>
              </w:rPr>
              <w:t>（需提供图片证明）</w:t>
            </w:r>
          </w:p>
        </w:tc>
        <w:tc>
          <w:tcPr>
            <w:tcW w:w="670" w:type="dxa"/>
            <w:shd w:val="clear" w:color="auto" w:fill="auto"/>
            <w:vAlign w:val="center"/>
          </w:tcPr>
          <w:p w14:paraId="38B02EDF">
            <w:pPr>
              <w:jc w:val="center"/>
              <w:rPr>
                <w:rFonts w:hint="eastAsia" w:ascii="宋体" w:hAnsi="宋体" w:eastAsia="宋体" w:cs="宋体"/>
                <w:i w:val="0"/>
                <w:iCs w:val="0"/>
                <w:color w:val="000000"/>
                <w:sz w:val="22"/>
                <w:szCs w:val="22"/>
                <w:u w:val="none"/>
              </w:rPr>
            </w:pPr>
          </w:p>
        </w:tc>
      </w:tr>
      <w:tr w14:paraId="12BC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9" w:type="dxa"/>
            <w:vMerge w:val="continue"/>
            <w:shd w:val="clear" w:color="auto" w:fill="auto"/>
            <w:vAlign w:val="center"/>
          </w:tcPr>
          <w:p w14:paraId="682A0777">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D7AFD2E">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B175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45.支持心电导联脱落显示提示，确保导联良好的连接状态。</w:t>
            </w:r>
          </w:p>
        </w:tc>
        <w:tc>
          <w:tcPr>
            <w:tcW w:w="670" w:type="dxa"/>
            <w:shd w:val="clear" w:color="auto" w:fill="auto"/>
            <w:noWrap/>
            <w:vAlign w:val="center"/>
          </w:tcPr>
          <w:p w14:paraId="4E9BF35D">
            <w:pPr>
              <w:jc w:val="center"/>
              <w:rPr>
                <w:rFonts w:hint="eastAsia" w:ascii="宋体" w:hAnsi="宋体" w:eastAsia="宋体" w:cs="宋体"/>
                <w:i w:val="0"/>
                <w:iCs w:val="0"/>
                <w:color w:val="000000"/>
                <w:sz w:val="22"/>
                <w:szCs w:val="22"/>
                <w:u w:val="none"/>
              </w:rPr>
            </w:pPr>
          </w:p>
        </w:tc>
      </w:tr>
      <w:tr w14:paraId="1795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trPr>
        <w:tc>
          <w:tcPr>
            <w:tcW w:w="739" w:type="dxa"/>
            <w:vMerge w:val="continue"/>
            <w:shd w:val="clear" w:color="auto" w:fill="auto"/>
            <w:vAlign w:val="center"/>
          </w:tcPr>
          <w:p w14:paraId="07E6ADA3">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834FFF5">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56B37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46.支持心电I、II、III、avR、avL、avF、V各导联波形显示。</w:t>
            </w:r>
          </w:p>
        </w:tc>
        <w:tc>
          <w:tcPr>
            <w:tcW w:w="670" w:type="dxa"/>
            <w:shd w:val="clear" w:color="auto" w:fill="auto"/>
            <w:vAlign w:val="center"/>
          </w:tcPr>
          <w:p w14:paraId="27323039">
            <w:pPr>
              <w:jc w:val="center"/>
              <w:rPr>
                <w:rFonts w:hint="eastAsia" w:ascii="宋体" w:hAnsi="宋体" w:eastAsia="宋体" w:cs="宋体"/>
                <w:i w:val="0"/>
                <w:iCs w:val="0"/>
                <w:color w:val="000000"/>
                <w:sz w:val="22"/>
                <w:szCs w:val="22"/>
                <w:u w:val="none"/>
              </w:rPr>
            </w:pPr>
          </w:p>
        </w:tc>
      </w:tr>
      <w:tr w14:paraId="39BA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9" w:type="dxa"/>
            <w:vMerge w:val="continue"/>
            <w:shd w:val="clear" w:color="auto" w:fill="auto"/>
            <w:vAlign w:val="center"/>
          </w:tcPr>
          <w:p w14:paraId="3E209AD9">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8927FA0">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C76C4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47.遥测监护仪屏幕为可触摸屏，显示屏≥3.5英寸，屏幕显示界面支持在同一界面同时显示心电、血氧、血压、呼吸、体温等参数，并提供图片证明。</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785B6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11C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9" w:type="dxa"/>
            <w:vMerge w:val="continue"/>
            <w:shd w:val="clear" w:color="auto" w:fill="auto"/>
            <w:vAlign w:val="center"/>
          </w:tcPr>
          <w:p w14:paraId="2925C760">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5E05A95">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4C328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48.遥测盒子重量≤240g，可配挂带包，便于病人随身携带。</w:t>
            </w:r>
          </w:p>
        </w:tc>
        <w:tc>
          <w:tcPr>
            <w:tcW w:w="670" w:type="dxa"/>
            <w:shd w:val="clear" w:color="auto" w:fill="auto"/>
            <w:vAlign w:val="center"/>
          </w:tcPr>
          <w:p w14:paraId="22AB6F30">
            <w:pPr>
              <w:jc w:val="center"/>
              <w:rPr>
                <w:rFonts w:hint="eastAsia" w:ascii="宋体" w:hAnsi="宋体" w:eastAsia="宋体" w:cs="宋体"/>
                <w:i w:val="0"/>
                <w:iCs w:val="0"/>
                <w:color w:val="000000"/>
                <w:sz w:val="22"/>
                <w:szCs w:val="22"/>
                <w:u w:val="none"/>
              </w:rPr>
            </w:pPr>
          </w:p>
        </w:tc>
      </w:tr>
      <w:tr w14:paraId="131D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739" w:type="dxa"/>
            <w:vMerge w:val="continue"/>
            <w:shd w:val="clear" w:color="auto" w:fill="auto"/>
            <w:vAlign w:val="center"/>
          </w:tcPr>
          <w:p w14:paraId="53B7BD9E">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77B41E3">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774C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49.具有自动关屏功能，在无操作时进入低功耗模式。</w:t>
            </w:r>
          </w:p>
        </w:tc>
        <w:tc>
          <w:tcPr>
            <w:tcW w:w="670" w:type="dxa"/>
            <w:shd w:val="clear" w:color="auto" w:fill="auto"/>
            <w:vAlign w:val="center"/>
          </w:tcPr>
          <w:p w14:paraId="0B42EEC3">
            <w:pPr>
              <w:jc w:val="center"/>
              <w:rPr>
                <w:rFonts w:hint="eastAsia" w:ascii="宋体" w:hAnsi="宋体" w:eastAsia="宋体" w:cs="宋体"/>
                <w:i w:val="0"/>
                <w:iCs w:val="0"/>
                <w:color w:val="000000"/>
                <w:sz w:val="22"/>
                <w:szCs w:val="22"/>
                <w:u w:val="none"/>
              </w:rPr>
            </w:pPr>
          </w:p>
        </w:tc>
      </w:tr>
      <w:tr w14:paraId="032F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9" w:type="dxa"/>
            <w:vMerge w:val="continue"/>
            <w:shd w:val="clear" w:color="auto" w:fill="auto"/>
            <w:vAlign w:val="center"/>
          </w:tcPr>
          <w:p w14:paraId="12849057">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CE0281F">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E4C68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50.智能识别功能:智能识别心电导联线（3/5导，欧/美标），无需特别设置。</w:t>
            </w:r>
          </w:p>
        </w:tc>
        <w:tc>
          <w:tcPr>
            <w:tcW w:w="670" w:type="dxa"/>
            <w:shd w:val="clear" w:color="auto" w:fill="auto"/>
            <w:vAlign w:val="center"/>
          </w:tcPr>
          <w:p w14:paraId="49271ECA">
            <w:pPr>
              <w:jc w:val="center"/>
              <w:rPr>
                <w:rFonts w:hint="eastAsia" w:ascii="宋体" w:hAnsi="宋体" w:eastAsia="宋体" w:cs="宋体"/>
                <w:i w:val="0"/>
                <w:iCs w:val="0"/>
                <w:color w:val="000000"/>
                <w:sz w:val="22"/>
                <w:szCs w:val="22"/>
                <w:u w:val="none"/>
              </w:rPr>
            </w:pPr>
          </w:p>
        </w:tc>
      </w:tr>
      <w:tr w14:paraId="5FDE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739" w:type="dxa"/>
            <w:vMerge w:val="continue"/>
            <w:shd w:val="clear" w:color="auto" w:fill="auto"/>
            <w:vAlign w:val="center"/>
          </w:tcPr>
          <w:p w14:paraId="6812D4F0">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AFE4A84">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4B250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51.心电支持3/5导心电监测，可选配升级12导心电监测。</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1003B14B">
            <w:pPr>
              <w:jc w:val="center"/>
              <w:rPr>
                <w:rFonts w:hint="eastAsia" w:ascii="宋体" w:hAnsi="宋体" w:eastAsia="宋体" w:cs="宋体"/>
                <w:i w:val="0"/>
                <w:iCs w:val="0"/>
                <w:color w:val="000000"/>
                <w:sz w:val="22"/>
                <w:szCs w:val="22"/>
                <w:u w:val="none"/>
              </w:rPr>
            </w:pPr>
          </w:p>
        </w:tc>
      </w:tr>
      <w:tr w14:paraId="3E02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39" w:type="dxa"/>
            <w:vMerge w:val="continue"/>
            <w:shd w:val="clear" w:color="auto" w:fill="auto"/>
            <w:vAlign w:val="center"/>
          </w:tcPr>
          <w:p w14:paraId="12B0180B">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0996B309">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90291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52.具有一键实现呼叫护士功能，保证监护安全。</w:t>
            </w:r>
          </w:p>
        </w:tc>
        <w:tc>
          <w:tcPr>
            <w:tcW w:w="670" w:type="dxa"/>
            <w:shd w:val="clear" w:color="auto" w:fill="auto"/>
            <w:vAlign w:val="center"/>
          </w:tcPr>
          <w:p w14:paraId="41FFB22F">
            <w:pPr>
              <w:jc w:val="center"/>
              <w:rPr>
                <w:rFonts w:hint="eastAsia" w:ascii="宋体" w:hAnsi="宋体" w:eastAsia="宋体" w:cs="宋体"/>
                <w:i w:val="0"/>
                <w:iCs w:val="0"/>
                <w:color w:val="000000"/>
                <w:sz w:val="22"/>
                <w:szCs w:val="22"/>
                <w:u w:val="none"/>
              </w:rPr>
            </w:pPr>
          </w:p>
        </w:tc>
      </w:tr>
      <w:tr w14:paraId="1F9F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739" w:type="dxa"/>
            <w:vMerge w:val="continue"/>
            <w:shd w:val="clear" w:color="auto" w:fill="auto"/>
            <w:vAlign w:val="center"/>
          </w:tcPr>
          <w:p w14:paraId="5D5361EB">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4F5A0FE">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0D6B8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53.采用可充电锂电池供电，最长续航时间≥220小时，并具备低电量提示功能。</w:t>
            </w:r>
          </w:p>
        </w:tc>
        <w:tc>
          <w:tcPr>
            <w:tcW w:w="670" w:type="dxa"/>
            <w:shd w:val="clear" w:color="auto" w:fill="auto"/>
            <w:vAlign w:val="center"/>
          </w:tcPr>
          <w:p w14:paraId="206727D6">
            <w:pPr>
              <w:jc w:val="center"/>
              <w:rPr>
                <w:rFonts w:hint="eastAsia" w:ascii="宋体" w:hAnsi="宋体" w:eastAsia="宋体" w:cs="宋体"/>
                <w:i w:val="0"/>
                <w:iCs w:val="0"/>
                <w:color w:val="000000"/>
                <w:sz w:val="22"/>
                <w:szCs w:val="22"/>
                <w:u w:val="none"/>
              </w:rPr>
            </w:pPr>
          </w:p>
        </w:tc>
      </w:tr>
      <w:tr w14:paraId="0848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39" w:type="dxa"/>
            <w:vMerge w:val="continue"/>
            <w:shd w:val="clear" w:color="auto" w:fill="auto"/>
            <w:vAlign w:val="center"/>
          </w:tcPr>
          <w:p w14:paraId="66A22F2D">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F9ED3EC">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17880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54.支持监护数据的存储及回顾，时长不小于1.5小时。</w:t>
            </w:r>
          </w:p>
        </w:tc>
        <w:tc>
          <w:tcPr>
            <w:tcW w:w="670" w:type="dxa"/>
            <w:shd w:val="clear" w:color="auto" w:fill="auto"/>
            <w:vAlign w:val="center"/>
          </w:tcPr>
          <w:p w14:paraId="1F809E99">
            <w:pPr>
              <w:jc w:val="center"/>
              <w:rPr>
                <w:rFonts w:hint="eastAsia" w:ascii="宋体" w:hAnsi="宋体" w:eastAsia="宋体" w:cs="宋体"/>
                <w:i w:val="0"/>
                <w:iCs w:val="0"/>
                <w:color w:val="000000"/>
                <w:sz w:val="22"/>
                <w:szCs w:val="22"/>
                <w:u w:val="none"/>
              </w:rPr>
            </w:pPr>
          </w:p>
        </w:tc>
      </w:tr>
      <w:tr w14:paraId="11E3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39" w:type="dxa"/>
            <w:vMerge w:val="continue"/>
            <w:shd w:val="clear" w:color="auto" w:fill="auto"/>
            <w:vAlign w:val="center"/>
          </w:tcPr>
          <w:p w14:paraId="456DC288">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7EE19AC">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5A15C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55.支持通过内置WIFI将数据上传遥测中央站。</w:t>
            </w:r>
          </w:p>
        </w:tc>
        <w:tc>
          <w:tcPr>
            <w:tcW w:w="670" w:type="dxa"/>
            <w:shd w:val="clear" w:color="auto" w:fill="auto"/>
            <w:vAlign w:val="center"/>
          </w:tcPr>
          <w:p w14:paraId="69D0C6D4">
            <w:pPr>
              <w:jc w:val="center"/>
              <w:rPr>
                <w:rFonts w:hint="eastAsia" w:ascii="宋体" w:hAnsi="宋体" w:eastAsia="宋体" w:cs="宋体"/>
                <w:i w:val="0"/>
                <w:iCs w:val="0"/>
                <w:color w:val="000000"/>
                <w:sz w:val="22"/>
                <w:szCs w:val="22"/>
                <w:u w:val="none"/>
              </w:rPr>
            </w:pPr>
          </w:p>
        </w:tc>
      </w:tr>
      <w:tr w14:paraId="035E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739" w:type="dxa"/>
            <w:vMerge w:val="continue"/>
            <w:shd w:val="clear" w:color="auto" w:fill="auto"/>
            <w:vAlign w:val="center"/>
          </w:tcPr>
          <w:p w14:paraId="3D593C9A">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BB5279F">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49133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56.通过CE或FDA认证。</w:t>
            </w:r>
          </w:p>
        </w:tc>
        <w:tc>
          <w:tcPr>
            <w:tcW w:w="670" w:type="dxa"/>
            <w:shd w:val="clear" w:color="auto" w:fill="auto"/>
            <w:vAlign w:val="center"/>
          </w:tcPr>
          <w:p w14:paraId="66C34639">
            <w:pPr>
              <w:jc w:val="center"/>
              <w:rPr>
                <w:rFonts w:hint="eastAsia" w:ascii="宋体" w:hAnsi="宋体" w:eastAsia="宋体" w:cs="宋体"/>
                <w:i w:val="0"/>
                <w:iCs w:val="0"/>
                <w:color w:val="000000"/>
                <w:sz w:val="22"/>
                <w:szCs w:val="22"/>
                <w:u w:val="none"/>
              </w:rPr>
            </w:pPr>
          </w:p>
        </w:tc>
      </w:tr>
      <w:tr w14:paraId="37FF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39" w:type="dxa"/>
            <w:vMerge w:val="continue"/>
            <w:shd w:val="clear" w:color="auto" w:fill="auto"/>
            <w:vAlign w:val="center"/>
          </w:tcPr>
          <w:p w14:paraId="13F158CA">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6C8FD3E">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1ED1A1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57.无需袖带，支持连续无创血压测量，可以实现无创血压的脉搏监测。</w:t>
            </w:r>
            <w:r>
              <w:rPr>
                <w:rFonts w:hint="eastAsia" w:ascii="宋体" w:hAnsi="宋体" w:eastAsia="宋体" w:cs="宋体"/>
                <w:b/>
                <w:bCs/>
                <w:i w:val="0"/>
                <w:iCs w:val="0"/>
                <w:color w:val="FF0000"/>
                <w:kern w:val="0"/>
                <w:sz w:val="22"/>
                <w:szCs w:val="22"/>
                <w:highlight w:val="none"/>
                <w:u w:val="none"/>
                <w:lang w:val="en-US" w:eastAsia="zh-CN" w:bidi="ar"/>
              </w:rPr>
              <w:t>（需提供注册证或产品彩页或产品说明书或技术白皮书佐证）</w:t>
            </w:r>
          </w:p>
        </w:tc>
        <w:tc>
          <w:tcPr>
            <w:tcW w:w="670" w:type="dxa"/>
            <w:shd w:val="clear" w:color="auto" w:fill="auto"/>
            <w:vAlign w:val="center"/>
          </w:tcPr>
          <w:p w14:paraId="2D21D9AC">
            <w:pPr>
              <w:jc w:val="center"/>
              <w:rPr>
                <w:rFonts w:hint="eastAsia" w:ascii="宋体" w:hAnsi="宋体" w:eastAsia="宋体" w:cs="宋体"/>
                <w:i w:val="0"/>
                <w:iCs w:val="0"/>
                <w:color w:val="000000"/>
                <w:sz w:val="22"/>
                <w:szCs w:val="22"/>
                <w:u w:val="none"/>
              </w:rPr>
            </w:pPr>
          </w:p>
        </w:tc>
      </w:tr>
      <w:tr w14:paraId="3F88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39" w:type="dxa"/>
            <w:vMerge w:val="continue"/>
            <w:shd w:val="clear" w:color="auto" w:fill="auto"/>
            <w:vAlign w:val="center"/>
          </w:tcPr>
          <w:p w14:paraId="6E0C4B7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898E211">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4EE1B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58.体温测量范围：25℃～45℃，体温测量精度：25℃～45℃ 时±0.2℃</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29BC5988">
            <w:pPr>
              <w:jc w:val="center"/>
              <w:rPr>
                <w:rFonts w:hint="eastAsia" w:ascii="宋体" w:hAnsi="宋体" w:eastAsia="宋体" w:cs="宋体"/>
                <w:i w:val="0"/>
                <w:iCs w:val="0"/>
                <w:color w:val="000000"/>
                <w:sz w:val="22"/>
                <w:szCs w:val="22"/>
                <w:u w:val="none"/>
              </w:rPr>
            </w:pPr>
          </w:p>
        </w:tc>
      </w:tr>
      <w:tr w14:paraId="0953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14B5329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B041572">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44A70D14">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选配模块：</w:t>
            </w:r>
          </w:p>
        </w:tc>
      </w:tr>
      <w:tr w14:paraId="6819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3FAE9109">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7AC1976">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3E908C9A">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0"/>
                <w:szCs w:val="20"/>
                <w:u w:val="none"/>
                <w:lang w:val="en-US" w:eastAsia="zh-CN" w:bidi="ar"/>
              </w:rPr>
              <w:t>1）呼气末二氧化碳模块</w:t>
            </w:r>
          </w:p>
        </w:tc>
      </w:tr>
      <w:tr w14:paraId="5F2B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15441CBC">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983FBC7">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ED7F8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59.测量参数：EtCO2 /FiCO2 /AwRR</w:t>
            </w:r>
          </w:p>
        </w:tc>
        <w:tc>
          <w:tcPr>
            <w:tcW w:w="670" w:type="dxa"/>
            <w:shd w:val="clear" w:color="auto" w:fill="auto"/>
            <w:vAlign w:val="center"/>
          </w:tcPr>
          <w:p w14:paraId="23910F65">
            <w:pPr>
              <w:jc w:val="center"/>
              <w:rPr>
                <w:rFonts w:hint="eastAsia" w:ascii="宋体" w:hAnsi="宋体" w:eastAsia="宋体" w:cs="宋体"/>
                <w:i w:val="0"/>
                <w:iCs w:val="0"/>
                <w:color w:val="000000"/>
                <w:sz w:val="22"/>
                <w:szCs w:val="22"/>
                <w:u w:val="none"/>
              </w:rPr>
            </w:pPr>
          </w:p>
        </w:tc>
      </w:tr>
      <w:tr w14:paraId="3C40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34CB37A4">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7713DD2">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2A05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60.测量范围：EtCO2  0kPa～20 kPa (0mmHg ～150mmHg)</w:t>
            </w:r>
          </w:p>
        </w:tc>
        <w:tc>
          <w:tcPr>
            <w:tcW w:w="670" w:type="dxa"/>
            <w:shd w:val="clear" w:color="auto" w:fill="auto"/>
            <w:vAlign w:val="center"/>
          </w:tcPr>
          <w:p w14:paraId="4021ACB4">
            <w:pPr>
              <w:jc w:val="center"/>
              <w:rPr>
                <w:rFonts w:hint="eastAsia" w:ascii="宋体" w:hAnsi="宋体" w:eastAsia="宋体" w:cs="宋体"/>
                <w:i w:val="0"/>
                <w:iCs w:val="0"/>
                <w:color w:val="000000"/>
                <w:sz w:val="22"/>
                <w:szCs w:val="22"/>
                <w:u w:val="none"/>
              </w:rPr>
            </w:pPr>
          </w:p>
        </w:tc>
      </w:tr>
      <w:tr w14:paraId="0D02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509D76CC">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E513023">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2EB7B56C">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0"/>
                <w:szCs w:val="20"/>
                <w:u w:val="none"/>
                <w:lang w:val="en-US" w:eastAsia="zh-CN" w:bidi="ar"/>
              </w:rPr>
              <w:t>2）有创血压（IBP）模块</w:t>
            </w:r>
          </w:p>
        </w:tc>
      </w:tr>
      <w:tr w14:paraId="1521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33B5531E">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44D3627">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14C4E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61.通道数：8通道</w:t>
            </w:r>
          </w:p>
        </w:tc>
        <w:tc>
          <w:tcPr>
            <w:tcW w:w="670" w:type="dxa"/>
            <w:shd w:val="clear" w:color="auto" w:fill="auto"/>
            <w:vAlign w:val="center"/>
          </w:tcPr>
          <w:p w14:paraId="0F9391A1">
            <w:pPr>
              <w:jc w:val="center"/>
              <w:rPr>
                <w:rFonts w:hint="eastAsia" w:ascii="宋体" w:hAnsi="宋体" w:eastAsia="宋体" w:cs="宋体"/>
                <w:i w:val="0"/>
                <w:iCs w:val="0"/>
                <w:color w:val="000000"/>
                <w:sz w:val="22"/>
                <w:szCs w:val="22"/>
                <w:u w:val="none"/>
              </w:rPr>
            </w:pPr>
          </w:p>
        </w:tc>
      </w:tr>
      <w:tr w14:paraId="22E3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63D4174C">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9C8155E">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2AB58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62.测量精度：2%或者1mmHg 取大者(不含传感器误差)</w:t>
            </w:r>
          </w:p>
        </w:tc>
        <w:tc>
          <w:tcPr>
            <w:tcW w:w="670" w:type="dxa"/>
            <w:shd w:val="clear" w:color="auto" w:fill="auto"/>
            <w:vAlign w:val="center"/>
          </w:tcPr>
          <w:p w14:paraId="7DA6A4B3">
            <w:pPr>
              <w:jc w:val="center"/>
              <w:rPr>
                <w:rFonts w:hint="eastAsia" w:ascii="宋体" w:hAnsi="宋体" w:eastAsia="宋体" w:cs="宋体"/>
                <w:i w:val="0"/>
                <w:iCs w:val="0"/>
                <w:color w:val="000000"/>
                <w:sz w:val="22"/>
                <w:szCs w:val="22"/>
                <w:u w:val="none"/>
              </w:rPr>
            </w:pPr>
          </w:p>
        </w:tc>
      </w:tr>
      <w:tr w14:paraId="370A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192840A0">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1FA8B55">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2205FF1C">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0"/>
                <w:szCs w:val="20"/>
                <w:u w:val="none"/>
                <w:lang w:val="en-US" w:eastAsia="zh-CN" w:bidi="ar"/>
              </w:rPr>
              <w:t>3）脑电双频指数BIS模块</w:t>
            </w:r>
          </w:p>
        </w:tc>
      </w:tr>
      <w:tr w14:paraId="3965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39" w:type="dxa"/>
            <w:vMerge w:val="continue"/>
            <w:shd w:val="clear" w:color="auto" w:fill="auto"/>
            <w:vAlign w:val="center"/>
          </w:tcPr>
          <w:p w14:paraId="685E06F1">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4DF126F">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1DD92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63.测量参数：BIS、SQI、SR、EMG、SEF、TP、BC（BC仅在使用BIS™ Extend传感器时适用）。</w:t>
            </w:r>
          </w:p>
        </w:tc>
        <w:tc>
          <w:tcPr>
            <w:tcW w:w="670" w:type="dxa"/>
            <w:shd w:val="clear" w:color="auto" w:fill="auto"/>
            <w:vAlign w:val="center"/>
          </w:tcPr>
          <w:p w14:paraId="0EECF03F">
            <w:pPr>
              <w:jc w:val="center"/>
              <w:rPr>
                <w:rFonts w:hint="eastAsia" w:ascii="宋体" w:hAnsi="宋体" w:eastAsia="宋体" w:cs="宋体"/>
                <w:i w:val="0"/>
                <w:iCs w:val="0"/>
                <w:color w:val="000000"/>
                <w:sz w:val="22"/>
                <w:szCs w:val="22"/>
                <w:u w:val="none"/>
              </w:rPr>
            </w:pPr>
          </w:p>
        </w:tc>
      </w:tr>
      <w:tr w14:paraId="59DF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39" w:type="dxa"/>
            <w:vMerge w:val="continue"/>
            <w:shd w:val="clear" w:color="auto" w:fill="auto"/>
            <w:vAlign w:val="center"/>
          </w:tcPr>
          <w:p w14:paraId="7E2A3BCA">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698A66A7">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319D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64.BIS趋势时长：6min、12min、30min、60min</w:t>
            </w:r>
          </w:p>
        </w:tc>
        <w:tc>
          <w:tcPr>
            <w:tcW w:w="670" w:type="dxa"/>
            <w:shd w:val="clear" w:color="auto" w:fill="auto"/>
            <w:vAlign w:val="center"/>
          </w:tcPr>
          <w:p w14:paraId="2F87099E">
            <w:pPr>
              <w:jc w:val="center"/>
              <w:rPr>
                <w:rFonts w:hint="eastAsia" w:ascii="宋体" w:hAnsi="宋体" w:eastAsia="宋体" w:cs="宋体"/>
                <w:i w:val="0"/>
                <w:iCs w:val="0"/>
                <w:color w:val="000000"/>
                <w:sz w:val="22"/>
                <w:szCs w:val="22"/>
                <w:u w:val="none"/>
              </w:rPr>
            </w:pPr>
          </w:p>
        </w:tc>
      </w:tr>
      <w:tr w14:paraId="1206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6AD20C40">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4C9E1DF0">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5DB5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65.EEG带宽：0.25Hz - 50Hz</w:t>
            </w:r>
          </w:p>
        </w:tc>
        <w:tc>
          <w:tcPr>
            <w:tcW w:w="670" w:type="dxa"/>
            <w:shd w:val="clear" w:color="auto" w:fill="auto"/>
            <w:vAlign w:val="center"/>
          </w:tcPr>
          <w:p w14:paraId="0E860E98">
            <w:pPr>
              <w:jc w:val="center"/>
              <w:rPr>
                <w:rFonts w:hint="eastAsia" w:ascii="宋体" w:hAnsi="宋体" w:eastAsia="宋体" w:cs="宋体"/>
                <w:i w:val="0"/>
                <w:iCs w:val="0"/>
                <w:color w:val="000000"/>
                <w:sz w:val="22"/>
                <w:szCs w:val="22"/>
                <w:u w:val="none"/>
              </w:rPr>
            </w:pPr>
          </w:p>
        </w:tc>
      </w:tr>
      <w:tr w14:paraId="6CD6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1CE0995C">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C5D5414">
            <w:pPr>
              <w:jc w:val="center"/>
              <w:rPr>
                <w:rFonts w:hint="eastAsia" w:ascii="宋体" w:hAnsi="宋体" w:eastAsia="宋体" w:cs="宋体"/>
                <w:b/>
                <w:bCs/>
                <w:i w:val="0"/>
                <w:iCs w:val="0"/>
                <w:color w:val="000000"/>
                <w:sz w:val="21"/>
                <w:szCs w:val="21"/>
                <w:u w:val="none"/>
              </w:rPr>
            </w:pPr>
          </w:p>
        </w:tc>
        <w:tc>
          <w:tcPr>
            <w:tcW w:w="6715" w:type="dxa"/>
            <w:gridSpan w:val="2"/>
            <w:shd w:val="clear" w:color="auto" w:fill="auto"/>
            <w:vAlign w:val="center"/>
          </w:tcPr>
          <w:p w14:paraId="4396D09D">
            <w:pPr>
              <w:jc w:val="lef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转运监护仪：</w:t>
            </w:r>
          </w:p>
        </w:tc>
      </w:tr>
      <w:tr w14:paraId="06EA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39" w:type="dxa"/>
            <w:vMerge w:val="continue"/>
            <w:shd w:val="clear" w:color="auto" w:fill="auto"/>
            <w:vAlign w:val="center"/>
          </w:tcPr>
          <w:p w14:paraId="19CA4E4D">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41E4D57">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3BF350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66.监护仪可配转运监护模块。</w:t>
            </w:r>
          </w:p>
        </w:tc>
        <w:tc>
          <w:tcPr>
            <w:tcW w:w="670" w:type="dxa"/>
            <w:shd w:val="clear" w:color="auto" w:fill="auto"/>
            <w:vAlign w:val="center"/>
          </w:tcPr>
          <w:p w14:paraId="7CC8F96B">
            <w:pPr>
              <w:jc w:val="center"/>
              <w:rPr>
                <w:rFonts w:hint="eastAsia" w:ascii="宋体" w:hAnsi="宋体" w:eastAsia="宋体" w:cs="宋体"/>
                <w:i w:val="0"/>
                <w:iCs w:val="0"/>
                <w:color w:val="000000"/>
                <w:sz w:val="22"/>
                <w:szCs w:val="22"/>
                <w:u w:val="none"/>
              </w:rPr>
            </w:pPr>
          </w:p>
        </w:tc>
      </w:tr>
      <w:tr w14:paraId="474B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5354B587">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1412CDAD">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8F067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67.转运监护标配≥5英寸彩色触摸屏，支持屏幕锁，防止误操作。</w:t>
            </w:r>
          </w:p>
        </w:tc>
        <w:tc>
          <w:tcPr>
            <w:tcW w:w="670" w:type="dxa"/>
            <w:shd w:val="clear" w:color="auto" w:fill="auto"/>
            <w:vAlign w:val="center"/>
          </w:tcPr>
          <w:p w14:paraId="52803CEE">
            <w:pPr>
              <w:jc w:val="center"/>
              <w:rPr>
                <w:rFonts w:hint="eastAsia" w:ascii="宋体" w:hAnsi="宋体" w:eastAsia="宋体" w:cs="宋体"/>
                <w:i w:val="0"/>
                <w:iCs w:val="0"/>
                <w:color w:val="000000"/>
                <w:sz w:val="22"/>
                <w:szCs w:val="22"/>
                <w:u w:val="none"/>
              </w:rPr>
            </w:pPr>
          </w:p>
        </w:tc>
      </w:tr>
      <w:tr w14:paraId="6520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39" w:type="dxa"/>
            <w:vMerge w:val="continue"/>
            <w:shd w:val="clear" w:color="auto" w:fill="auto"/>
            <w:vAlign w:val="center"/>
          </w:tcPr>
          <w:p w14:paraId="3EAFB46E">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3746E334">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5BA7F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68.标配一体式防滑提手，便于移动使用，专门为病人转运监护而设计。</w:t>
            </w:r>
          </w:p>
        </w:tc>
        <w:tc>
          <w:tcPr>
            <w:tcW w:w="670" w:type="dxa"/>
            <w:shd w:val="clear" w:color="auto" w:fill="auto"/>
            <w:vAlign w:val="center"/>
          </w:tcPr>
          <w:p w14:paraId="5AD806FD">
            <w:pPr>
              <w:jc w:val="center"/>
              <w:rPr>
                <w:rFonts w:hint="eastAsia" w:ascii="宋体" w:hAnsi="宋体" w:eastAsia="宋体" w:cs="宋体"/>
                <w:i w:val="0"/>
                <w:iCs w:val="0"/>
                <w:color w:val="000000"/>
                <w:sz w:val="22"/>
                <w:szCs w:val="22"/>
                <w:u w:val="none"/>
              </w:rPr>
            </w:pPr>
          </w:p>
        </w:tc>
      </w:tr>
      <w:tr w14:paraId="58DF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39" w:type="dxa"/>
            <w:vMerge w:val="continue"/>
            <w:shd w:val="clear" w:color="auto" w:fill="auto"/>
            <w:vAlign w:val="center"/>
          </w:tcPr>
          <w:p w14:paraId="34322062">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7D258E28">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0F098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69.防护等级≥IP44,标配可充电锂电池，续航时间≥5.5小时，支持在不开机情况下查看电池电量。</w:t>
            </w:r>
            <w:r>
              <w:rPr>
                <w:rFonts w:hint="eastAsia" w:ascii="宋体" w:hAnsi="宋体" w:eastAsia="宋体" w:cs="宋体"/>
                <w:b/>
                <w:bCs/>
                <w:i w:val="0"/>
                <w:iCs w:val="0"/>
                <w:color w:val="FF0000"/>
                <w:kern w:val="0"/>
                <w:sz w:val="22"/>
                <w:szCs w:val="22"/>
                <w:u w:val="none"/>
                <w:lang w:val="en-US" w:eastAsia="zh-CN" w:bidi="ar"/>
              </w:rPr>
              <w:t>（需提供产品彩页或产品说明书或技术白皮书佐证）</w:t>
            </w:r>
          </w:p>
        </w:tc>
        <w:tc>
          <w:tcPr>
            <w:tcW w:w="670" w:type="dxa"/>
            <w:shd w:val="clear" w:color="auto" w:fill="auto"/>
            <w:vAlign w:val="center"/>
          </w:tcPr>
          <w:p w14:paraId="7BB3E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0304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9" w:type="dxa"/>
            <w:vMerge w:val="continue"/>
            <w:shd w:val="clear" w:color="auto" w:fill="auto"/>
            <w:vAlign w:val="center"/>
          </w:tcPr>
          <w:p w14:paraId="0C493069">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5001D403">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7AAE8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70.可直接接至监护仪，将转运的监护信息直接导入至监护仪，有效地保证病人监护信息的连续性。</w:t>
            </w:r>
          </w:p>
        </w:tc>
        <w:tc>
          <w:tcPr>
            <w:tcW w:w="670" w:type="dxa"/>
            <w:shd w:val="clear" w:color="auto" w:fill="auto"/>
            <w:vAlign w:val="center"/>
          </w:tcPr>
          <w:p w14:paraId="4F56D4BF">
            <w:pPr>
              <w:jc w:val="center"/>
              <w:rPr>
                <w:rFonts w:hint="eastAsia" w:ascii="宋体" w:hAnsi="宋体" w:eastAsia="宋体" w:cs="宋体"/>
                <w:i w:val="0"/>
                <w:iCs w:val="0"/>
                <w:color w:val="000000"/>
                <w:sz w:val="20"/>
                <w:szCs w:val="20"/>
                <w:u w:val="none"/>
              </w:rPr>
            </w:pPr>
          </w:p>
        </w:tc>
      </w:tr>
      <w:tr w14:paraId="6B1C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739" w:type="dxa"/>
            <w:vMerge w:val="continue"/>
            <w:shd w:val="clear" w:color="auto" w:fill="auto"/>
            <w:vAlign w:val="center"/>
          </w:tcPr>
          <w:p w14:paraId="2000E266">
            <w:pPr>
              <w:jc w:val="center"/>
              <w:rPr>
                <w:rFonts w:hint="eastAsia" w:ascii="宋体" w:hAnsi="宋体" w:eastAsia="宋体" w:cs="宋体"/>
                <w:b/>
                <w:bCs/>
                <w:i w:val="0"/>
                <w:iCs w:val="0"/>
                <w:color w:val="000000"/>
                <w:sz w:val="21"/>
                <w:szCs w:val="21"/>
                <w:u w:val="none"/>
              </w:rPr>
            </w:pPr>
          </w:p>
        </w:tc>
        <w:tc>
          <w:tcPr>
            <w:tcW w:w="1065" w:type="dxa"/>
            <w:vMerge w:val="continue"/>
            <w:shd w:val="clear" w:color="auto" w:fill="auto"/>
            <w:vAlign w:val="center"/>
          </w:tcPr>
          <w:p w14:paraId="2C7CE172">
            <w:pPr>
              <w:jc w:val="center"/>
              <w:rPr>
                <w:rFonts w:hint="eastAsia" w:ascii="宋体" w:hAnsi="宋体" w:eastAsia="宋体" w:cs="宋体"/>
                <w:b/>
                <w:bCs/>
                <w:i w:val="0"/>
                <w:iCs w:val="0"/>
                <w:color w:val="000000"/>
                <w:sz w:val="21"/>
                <w:szCs w:val="21"/>
                <w:u w:val="none"/>
              </w:rPr>
            </w:pPr>
          </w:p>
        </w:tc>
        <w:tc>
          <w:tcPr>
            <w:tcW w:w="6045" w:type="dxa"/>
            <w:shd w:val="clear" w:color="auto" w:fill="auto"/>
            <w:vAlign w:val="center"/>
          </w:tcPr>
          <w:p w14:paraId="68826E4A">
            <w:pPr>
              <w:widowControl/>
              <w:numPr>
                <w:ilvl w:val="0"/>
                <w:numId w:val="0"/>
              </w:numPr>
              <w:jc w:val="left"/>
              <w:textAlignment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71.</w:t>
            </w:r>
            <w:r>
              <w:rPr>
                <w:rFonts w:hint="eastAsia" w:ascii="宋体" w:hAnsi="宋体" w:eastAsia="宋体" w:cs="宋体"/>
                <w:b/>
                <w:bCs/>
                <w:color w:val="auto"/>
                <w:sz w:val="21"/>
                <w:szCs w:val="21"/>
              </w:rPr>
              <w:t>采购产品默认包含下列配件，供应商中标后须按下列配件清单提供相应配件。</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7"/>
              <w:gridCol w:w="2900"/>
              <w:gridCol w:w="933"/>
              <w:gridCol w:w="1117"/>
            </w:tblGrid>
            <w:tr w14:paraId="6D73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45" w:type="pct"/>
                  <w:shd w:val="clear" w:color="auto" w:fill="auto"/>
                  <w:vAlign w:val="center"/>
                </w:tcPr>
                <w:p w14:paraId="74EBE6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2492" w:type="pct"/>
                  <w:shd w:val="clear" w:color="auto" w:fill="auto"/>
                  <w:vAlign w:val="center"/>
                </w:tcPr>
                <w:p w14:paraId="2E62063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sz w:val="21"/>
                      <w:szCs w:val="21"/>
                      <w:u w:val="none"/>
                    </w:rPr>
                    <w:t>配置名称</w:t>
                  </w:r>
                </w:p>
              </w:tc>
              <w:tc>
                <w:tcPr>
                  <w:tcW w:w="802" w:type="pct"/>
                  <w:shd w:val="clear" w:color="auto" w:fill="auto"/>
                  <w:vAlign w:val="center"/>
                </w:tcPr>
                <w:p w14:paraId="6CAF77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959" w:type="pct"/>
                  <w:shd w:val="clear" w:color="auto" w:fill="auto"/>
                  <w:vAlign w:val="center"/>
                </w:tcPr>
                <w:p w14:paraId="2AADC8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r>
            <w:tr w14:paraId="5CF2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521D435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492" w:type="pct"/>
                  <w:shd w:val="clear" w:color="auto" w:fill="auto"/>
                  <w:vAlign w:val="center"/>
                </w:tcPr>
                <w:p w14:paraId="2424566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中央站</w:t>
                  </w:r>
                </w:p>
              </w:tc>
              <w:tc>
                <w:tcPr>
                  <w:tcW w:w="802" w:type="pct"/>
                  <w:shd w:val="clear" w:color="auto" w:fill="auto"/>
                  <w:vAlign w:val="center"/>
                </w:tcPr>
                <w:p w14:paraId="702528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20CAC0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35FF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3CFF131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2492" w:type="pct"/>
                  <w:shd w:val="clear" w:color="auto" w:fill="auto"/>
                  <w:vAlign w:val="center"/>
                </w:tcPr>
                <w:p w14:paraId="078BAF2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电脑主机</w:t>
                  </w:r>
                </w:p>
              </w:tc>
              <w:tc>
                <w:tcPr>
                  <w:tcW w:w="802" w:type="pct"/>
                  <w:shd w:val="clear" w:color="auto" w:fill="auto"/>
                  <w:vAlign w:val="center"/>
                </w:tcPr>
                <w:p w14:paraId="3D521A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7BE588D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1B22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7FC559E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2492" w:type="pct"/>
                  <w:shd w:val="clear" w:color="auto" w:fill="auto"/>
                  <w:vAlign w:val="center"/>
                </w:tcPr>
                <w:p w14:paraId="1229E65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加密狗</w:t>
                  </w:r>
                </w:p>
              </w:tc>
              <w:tc>
                <w:tcPr>
                  <w:tcW w:w="802" w:type="pct"/>
                  <w:shd w:val="clear" w:color="auto" w:fill="auto"/>
                  <w:vAlign w:val="center"/>
                </w:tcPr>
                <w:p w14:paraId="5FAFA0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4AD913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4A74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3F2452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2492" w:type="pct"/>
                  <w:shd w:val="clear" w:color="auto" w:fill="auto"/>
                  <w:vAlign w:val="center"/>
                </w:tcPr>
                <w:p w14:paraId="13BAB45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鼠标</w:t>
                  </w:r>
                </w:p>
              </w:tc>
              <w:tc>
                <w:tcPr>
                  <w:tcW w:w="802" w:type="pct"/>
                  <w:shd w:val="clear" w:color="auto" w:fill="auto"/>
                  <w:vAlign w:val="center"/>
                </w:tcPr>
                <w:p w14:paraId="645B500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5EE8A1A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696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40AD73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2492" w:type="pct"/>
                  <w:shd w:val="clear" w:color="auto" w:fill="auto"/>
                  <w:vAlign w:val="center"/>
                </w:tcPr>
                <w:p w14:paraId="2E8C84F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键盘</w:t>
                  </w:r>
                </w:p>
              </w:tc>
              <w:tc>
                <w:tcPr>
                  <w:tcW w:w="802" w:type="pct"/>
                  <w:shd w:val="clear" w:color="auto" w:fill="auto"/>
                  <w:vAlign w:val="center"/>
                </w:tcPr>
                <w:p w14:paraId="03F217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301672A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4666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6F0329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2492" w:type="pct"/>
                  <w:shd w:val="clear" w:color="auto" w:fill="auto"/>
                  <w:vAlign w:val="center"/>
                </w:tcPr>
                <w:p w14:paraId="7BCA5EC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激光打印机</w:t>
                  </w:r>
                </w:p>
              </w:tc>
              <w:tc>
                <w:tcPr>
                  <w:tcW w:w="802" w:type="pct"/>
                  <w:shd w:val="clear" w:color="auto" w:fill="auto"/>
                  <w:vAlign w:val="center"/>
                </w:tcPr>
                <w:p w14:paraId="740E38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219127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38DD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7DE9DF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2492" w:type="pct"/>
                  <w:shd w:val="clear" w:color="auto" w:fill="auto"/>
                  <w:vAlign w:val="center"/>
                </w:tcPr>
                <w:p w14:paraId="6A2057D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22英寸液晶显示器</w:t>
                  </w:r>
                </w:p>
              </w:tc>
              <w:tc>
                <w:tcPr>
                  <w:tcW w:w="802" w:type="pct"/>
                  <w:shd w:val="clear" w:color="auto" w:fill="auto"/>
                  <w:vAlign w:val="center"/>
                </w:tcPr>
                <w:p w14:paraId="1669CD3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54A5347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095F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5C2273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2492" w:type="pct"/>
                  <w:shd w:val="clear" w:color="auto" w:fill="auto"/>
                  <w:vAlign w:val="center"/>
                </w:tcPr>
                <w:p w14:paraId="7BBEF41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55英寸电视及组件</w:t>
                  </w:r>
                </w:p>
              </w:tc>
              <w:tc>
                <w:tcPr>
                  <w:tcW w:w="802" w:type="pct"/>
                  <w:shd w:val="clear" w:color="auto" w:fill="auto"/>
                  <w:vAlign w:val="center"/>
                </w:tcPr>
                <w:p w14:paraId="39D1AF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959" w:type="pct"/>
                  <w:shd w:val="clear" w:color="auto" w:fill="auto"/>
                  <w:vAlign w:val="center"/>
                </w:tcPr>
                <w:p w14:paraId="62A720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0D3B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783F8A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2492" w:type="pct"/>
                  <w:shd w:val="clear" w:color="auto" w:fill="auto"/>
                  <w:vAlign w:val="center"/>
                </w:tcPr>
                <w:p w14:paraId="47880D6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音箱</w:t>
                  </w:r>
                </w:p>
              </w:tc>
              <w:tc>
                <w:tcPr>
                  <w:tcW w:w="802" w:type="pct"/>
                  <w:shd w:val="clear" w:color="auto" w:fill="auto"/>
                  <w:vAlign w:val="center"/>
                </w:tcPr>
                <w:p w14:paraId="02A96B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16B93C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5228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7F4413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2492" w:type="pct"/>
                  <w:shd w:val="clear" w:color="auto" w:fill="auto"/>
                  <w:vAlign w:val="center"/>
                </w:tcPr>
                <w:p w14:paraId="288992F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电源线</w:t>
                  </w:r>
                </w:p>
              </w:tc>
              <w:tc>
                <w:tcPr>
                  <w:tcW w:w="802" w:type="pct"/>
                  <w:shd w:val="clear" w:color="auto" w:fill="auto"/>
                  <w:vAlign w:val="center"/>
                </w:tcPr>
                <w:p w14:paraId="627680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1A7EE94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1DB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1F008189">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1.10</w:t>
                  </w:r>
                </w:p>
              </w:tc>
              <w:tc>
                <w:tcPr>
                  <w:tcW w:w="2492" w:type="pct"/>
                  <w:shd w:val="clear" w:color="auto" w:fill="auto"/>
                  <w:vAlign w:val="center"/>
                </w:tcPr>
                <w:p w14:paraId="419FE0B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联网组件</w:t>
                  </w:r>
                </w:p>
              </w:tc>
              <w:tc>
                <w:tcPr>
                  <w:tcW w:w="802" w:type="pct"/>
                  <w:shd w:val="clear" w:color="auto" w:fill="auto"/>
                  <w:vAlign w:val="center"/>
                </w:tcPr>
                <w:p w14:paraId="49909F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59" w:type="pct"/>
                  <w:shd w:val="clear" w:color="auto" w:fill="auto"/>
                  <w:vAlign w:val="center"/>
                </w:tcPr>
                <w:p w14:paraId="2D4F3B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297D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04FD8E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492" w:type="pct"/>
                  <w:shd w:val="clear" w:color="auto" w:fill="auto"/>
                  <w:vAlign w:val="center"/>
                </w:tcPr>
                <w:p w14:paraId="0ECE879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病人监护仪</w:t>
                  </w:r>
                </w:p>
              </w:tc>
              <w:tc>
                <w:tcPr>
                  <w:tcW w:w="802" w:type="pct"/>
                  <w:shd w:val="clear" w:color="auto" w:fill="auto"/>
                  <w:vAlign w:val="center"/>
                </w:tcPr>
                <w:p w14:paraId="008F7C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2975F8A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365F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 w:hRule="atLeast"/>
              </w:trPr>
              <w:tc>
                <w:tcPr>
                  <w:tcW w:w="745" w:type="pct"/>
                  <w:shd w:val="clear" w:color="auto" w:fill="auto"/>
                  <w:vAlign w:val="center"/>
                </w:tcPr>
                <w:p w14:paraId="02B067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2492" w:type="pct"/>
                  <w:shd w:val="clear" w:color="auto" w:fill="auto"/>
                  <w:vAlign w:val="center"/>
                </w:tcPr>
                <w:p w14:paraId="0B6F6C4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15英寸监护仪主机（触摸屏）</w:t>
                  </w:r>
                </w:p>
              </w:tc>
              <w:tc>
                <w:tcPr>
                  <w:tcW w:w="802" w:type="pct"/>
                  <w:shd w:val="clear" w:color="auto" w:fill="auto"/>
                  <w:vAlign w:val="center"/>
                </w:tcPr>
                <w:p w14:paraId="04B09C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4438CD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1484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45" w:type="pct"/>
                  <w:shd w:val="clear" w:color="auto" w:fill="auto"/>
                  <w:vAlign w:val="center"/>
                </w:tcPr>
                <w:p w14:paraId="56AD0B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2492" w:type="pct"/>
                  <w:shd w:val="clear" w:color="auto" w:fill="auto"/>
                  <w:vAlign w:val="center"/>
                </w:tcPr>
                <w:p w14:paraId="794DB05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多参数模块（ECG、RESP、SpO2、PR、NIBP、TEMP）</w:t>
                  </w:r>
                </w:p>
              </w:tc>
              <w:tc>
                <w:tcPr>
                  <w:tcW w:w="802" w:type="pct"/>
                  <w:shd w:val="clear" w:color="auto" w:fill="auto"/>
                  <w:vAlign w:val="center"/>
                </w:tcPr>
                <w:p w14:paraId="407B7D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10DB527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4D68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157D20B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2492" w:type="pct"/>
                  <w:shd w:val="clear" w:color="auto" w:fill="auto"/>
                  <w:vAlign w:val="center"/>
                </w:tcPr>
                <w:p w14:paraId="0E38ACF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成人血氧传感器</w:t>
                  </w:r>
                </w:p>
              </w:tc>
              <w:tc>
                <w:tcPr>
                  <w:tcW w:w="802" w:type="pct"/>
                  <w:shd w:val="clear" w:color="auto" w:fill="auto"/>
                  <w:vAlign w:val="center"/>
                </w:tcPr>
                <w:p w14:paraId="4C90344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14DD8A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3D95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721168A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2492" w:type="pct"/>
                  <w:shd w:val="clear" w:color="auto" w:fill="auto"/>
                  <w:vAlign w:val="center"/>
                </w:tcPr>
                <w:p w14:paraId="17CFC98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体表体温探头</w:t>
                  </w:r>
                </w:p>
              </w:tc>
              <w:tc>
                <w:tcPr>
                  <w:tcW w:w="802" w:type="pct"/>
                  <w:shd w:val="clear" w:color="auto" w:fill="auto"/>
                  <w:vAlign w:val="center"/>
                </w:tcPr>
                <w:p w14:paraId="5F9156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4482C70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1E3B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700258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2492" w:type="pct"/>
                  <w:shd w:val="clear" w:color="auto" w:fill="auto"/>
                  <w:vAlign w:val="center"/>
                </w:tcPr>
                <w:p w14:paraId="5EF34A4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锂电池</w:t>
                  </w:r>
                </w:p>
              </w:tc>
              <w:tc>
                <w:tcPr>
                  <w:tcW w:w="802" w:type="pct"/>
                  <w:shd w:val="clear" w:color="auto" w:fill="auto"/>
                  <w:vAlign w:val="center"/>
                </w:tcPr>
                <w:p w14:paraId="4975E9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170B88A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r>
            <w:tr w14:paraId="35E2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74DFED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2492" w:type="pct"/>
                  <w:shd w:val="clear" w:color="auto" w:fill="auto"/>
                  <w:vAlign w:val="center"/>
                </w:tcPr>
                <w:p w14:paraId="293A71B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血压气管延长管</w:t>
                  </w:r>
                </w:p>
              </w:tc>
              <w:tc>
                <w:tcPr>
                  <w:tcW w:w="802" w:type="pct"/>
                  <w:shd w:val="clear" w:color="auto" w:fill="auto"/>
                  <w:vAlign w:val="center"/>
                </w:tcPr>
                <w:p w14:paraId="220804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6B50DD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4839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606832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2492" w:type="pct"/>
                  <w:shd w:val="clear" w:color="auto" w:fill="auto"/>
                  <w:vAlign w:val="center"/>
                </w:tcPr>
                <w:p w14:paraId="34FD4FD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血压袖套</w:t>
                  </w:r>
                </w:p>
              </w:tc>
              <w:tc>
                <w:tcPr>
                  <w:tcW w:w="802" w:type="pct"/>
                  <w:shd w:val="clear" w:color="auto" w:fill="auto"/>
                  <w:vAlign w:val="center"/>
                </w:tcPr>
                <w:p w14:paraId="49D15C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0776F3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0681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3E614D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2492" w:type="pct"/>
                  <w:shd w:val="clear" w:color="auto" w:fill="auto"/>
                  <w:vAlign w:val="center"/>
                </w:tcPr>
                <w:p w14:paraId="1B40E75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5导心电导联线</w:t>
                  </w:r>
                </w:p>
              </w:tc>
              <w:tc>
                <w:tcPr>
                  <w:tcW w:w="802" w:type="pct"/>
                  <w:shd w:val="clear" w:color="auto" w:fill="auto"/>
                  <w:vAlign w:val="center"/>
                </w:tcPr>
                <w:p w14:paraId="56CFBCD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1DC35D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4A6E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5CA95D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2492" w:type="pct"/>
                  <w:shd w:val="clear" w:color="auto" w:fill="auto"/>
                  <w:vAlign w:val="center"/>
                </w:tcPr>
                <w:p w14:paraId="22E44E1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有创压IBP模块及附件包</w:t>
                  </w:r>
                </w:p>
              </w:tc>
              <w:tc>
                <w:tcPr>
                  <w:tcW w:w="802" w:type="pct"/>
                  <w:shd w:val="clear" w:color="auto" w:fill="auto"/>
                  <w:noWrap/>
                  <w:vAlign w:val="center"/>
                </w:tcPr>
                <w:p w14:paraId="3CA240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959" w:type="pct"/>
                  <w:shd w:val="clear" w:color="auto" w:fill="auto"/>
                  <w:noWrap/>
                  <w:vAlign w:val="center"/>
                </w:tcPr>
                <w:p w14:paraId="1D46AA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0F47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45" w:type="pct"/>
                  <w:shd w:val="clear" w:color="auto" w:fill="auto"/>
                  <w:vAlign w:val="center"/>
                </w:tcPr>
                <w:p w14:paraId="11BD41E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2492" w:type="pct"/>
                  <w:shd w:val="clear" w:color="auto" w:fill="auto"/>
                  <w:vAlign w:val="center"/>
                </w:tcPr>
                <w:p w14:paraId="62C61A4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脑电双频指数BIS模块及附件包</w:t>
                  </w:r>
                </w:p>
              </w:tc>
              <w:tc>
                <w:tcPr>
                  <w:tcW w:w="802" w:type="pct"/>
                  <w:shd w:val="clear" w:color="auto" w:fill="auto"/>
                  <w:noWrap/>
                  <w:vAlign w:val="center"/>
                </w:tcPr>
                <w:p w14:paraId="0FBF52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959" w:type="pct"/>
                  <w:shd w:val="clear" w:color="auto" w:fill="auto"/>
                  <w:noWrap/>
                  <w:vAlign w:val="center"/>
                </w:tcPr>
                <w:p w14:paraId="2CA472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0FF6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745" w:type="pct"/>
                  <w:shd w:val="clear" w:color="auto" w:fill="auto"/>
                  <w:vAlign w:val="center"/>
                </w:tcPr>
                <w:p w14:paraId="6B25C8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2.11</w:t>
                  </w:r>
                </w:p>
              </w:tc>
              <w:tc>
                <w:tcPr>
                  <w:tcW w:w="2492" w:type="pct"/>
                  <w:shd w:val="clear" w:color="auto" w:fill="auto"/>
                  <w:vAlign w:val="center"/>
                </w:tcPr>
                <w:p w14:paraId="1794232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呼气末二氧化碳模块及附件包</w:t>
                  </w:r>
                </w:p>
              </w:tc>
              <w:tc>
                <w:tcPr>
                  <w:tcW w:w="802" w:type="pct"/>
                  <w:shd w:val="clear" w:color="auto" w:fill="auto"/>
                  <w:noWrap/>
                  <w:vAlign w:val="center"/>
                </w:tcPr>
                <w:p w14:paraId="1E55F8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959" w:type="pct"/>
                  <w:shd w:val="clear" w:color="auto" w:fill="auto"/>
                  <w:noWrap/>
                  <w:vAlign w:val="center"/>
                </w:tcPr>
                <w:p w14:paraId="7C2871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5F93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36FA00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2.12</w:t>
                  </w:r>
                </w:p>
              </w:tc>
              <w:tc>
                <w:tcPr>
                  <w:tcW w:w="2492" w:type="pct"/>
                  <w:shd w:val="clear" w:color="auto" w:fill="auto"/>
                  <w:vAlign w:val="center"/>
                </w:tcPr>
                <w:p w14:paraId="0308368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转运监护仪及附件</w:t>
                  </w:r>
                </w:p>
              </w:tc>
              <w:tc>
                <w:tcPr>
                  <w:tcW w:w="802" w:type="pct"/>
                  <w:shd w:val="clear" w:color="auto" w:fill="auto"/>
                  <w:noWrap/>
                  <w:vAlign w:val="center"/>
                </w:tcPr>
                <w:p w14:paraId="794930D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959" w:type="pct"/>
                  <w:shd w:val="clear" w:color="auto" w:fill="auto"/>
                  <w:noWrap/>
                  <w:vAlign w:val="center"/>
                </w:tcPr>
                <w:p w14:paraId="116529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1A2B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79E4333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2.13</w:t>
                  </w:r>
                </w:p>
              </w:tc>
              <w:tc>
                <w:tcPr>
                  <w:tcW w:w="2492" w:type="pct"/>
                  <w:shd w:val="clear" w:color="auto" w:fill="auto"/>
                  <w:vAlign w:val="center"/>
                </w:tcPr>
                <w:p w14:paraId="32156D1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遥测收发器</w:t>
                  </w:r>
                </w:p>
              </w:tc>
              <w:tc>
                <w:tcPr>
                  <w:tcW w:w="802" w:type="pct"/>
                  <w:shd w:val="clear" w:color="auto" w:fill="auto"/>
                  <w:vAlign w:val="center"/>
                </w:tcPr>
                <w:p w14:paraId="51DAF3C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59" w:type="pct"/>
                  <w:shd w:val="clear" w:color="auto" w:fill="auto"/>
                  <w:vAlign w:val="center"/>
                </w:tcPr>
                <w:p w14:paraId="1027D3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2CB5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574741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2.14</w:t>
                  </w:r>
                </w:p>
              </w:tc>
              <w:tc>
                <w:tcPr>
                  <w:tcW w:w="2492" w:type="pct"/>
                  <w:shd w:val="clear" w:color="auto" w:fill="auto"/>
                  <w:vAlign w:val="center"/>
                </w:tcPr>
                <w:p w14:paraId="3B4389E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遥测联网组件</w:t>
                  </w:r>
                </w:p>
              </w:tc>
              <w:tc>
                <w:tcPr>
                  <w:tcW w:w="802" w:type="pct"/>
                  <w:shd w:val="clear" w:color="auto" w:fill="auto"/>
                  <w:vAlign w:val="center"/>
                </w:tcPr>
                <w:p w14:paraId="342F67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959" w:type="pct"/>
                  <w:shd w:val="clear" w:color="auto" w:fill="auto"/>
                  <w:vAlign w:val="center"/>
                </w:tcPr>
                <w:p w14:paraId="6BA0215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1FE4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6A3F0E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2.15</w:t>
                  </w:r>
                </w:p>
              </w:tc>
              <w:tc>
                <w:tcPr>
                  <w:tcW w:w="2492" w:type="pct"/>
                  <w:shd w:val="clear" w:color="auto" w:fill="auto"/>
                  <w:vAlign w:val="center"/>
                </w:tcPr>
                <w:p w14:paraId="5DBAC77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电池</w:t>
                  </w:r>
                </w:p>
              </w:tc>
              <w:tc>
                <w:tcPr>
                  <w:tcW w:w="802" w:type="pct"/>
                  <w:shd w:val="clear" w:color="auto" w:fill="auto"/>
                  <w:vAlign w:val="center"/>
                </w:tcPr>
                <w:p w14:paraId="369864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959" w:type="pct"/>
                  <w:shd w:val="clear" w:color="auto" w:fill="auto"/>
                  <w:vAlign w:val="center"/>
                </w:tcPr>
                <w:p w14:paraId="74A24A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节</w:t>
                  </w:r>
                </w:p>
              </w:tc>
            </w:tr>
            <w:tr w14:paraId="0BF9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5" w:type="pct"/>
                  <w:shd w:val="clear" w:color="auto" w:fill="auto"/>
                  <w:vAlign w:val="center"/>
                </w:tcPr>
                <w:p w14:paraId="6A013B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2.16</w:t>
                  </w:r>
                </w:p>
              </w:tc>
              <w:tc>
                <w:tcPr>
                  <w:tcW w:w="2492" w:type="pct"/>
                  <w:shd w:val="clear" w:color="auto" w:fill="auto"/>
                  <w:vAlign w:val="center"/>
                </w:tcPr>
                <w:p w14:paraId="6E5597C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遥测专用5导心电导联线及附件</w:t>
                  </w:r>
                </w:p>
              </w:tc>
              <w:tc>
                <w:tcPr>
                  <w:tcW w:w="802" w:type="pct"/>
                  <w:shd w:val="clear" w:color="auto" w:fill="auto"/>
                  <w:vAlign w:val="center"/>
                </w:tcPr>
                <w:p w14:paraId="1F8292B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59" w:type="pct"/>
                  <w:shd w:val="clear" w:color="auto" w:fill="auto"/>
                  <w:vAlign w:val="center"/>
                </w:tcPr>
                <w:p w14:paraId="02EEB7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r w14:paraId="528E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16374A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2.17</w:t>
                  </w:r>
                </w:p>
              </w:tc>
              <w:tc>
                <w:tcPr>
                  <w:tcW w:w="2492" w:type="pct"/>
                  <w:shd w:val="clear" w:color="auto" w:fill="auto"/>
                  <w:vAlign w:val="center"/>
                </w:tcPr>
                <w:p w14:paraId="3277D0E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遥测专用血氧传感器</w:t>
                  </w:r>
                </w:p>
              </w:tc>
              <w:tc>
                <w:tcPr>
                  <w:tcW w:w="802" w:type="pct"/>
                  <w:shd w:val="clear" w:color="auto" w:fill="auto"/>
                  <w:vAlign w:val="center"/>
                </w:tcPr>
                <w:p w14:paraId="2A7E81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59" w:type="pct"/>
                  <w:shd w:val="clear" w:color="auto" w:fill="auto"/>
                  <w:vAlign w:val="center"/>
                </w:tcPr>
                <w:p w14:paraId="069451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2AB0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42AB47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2.18</w:t>
                  </w:r>
                </w:p>
              </w:tc>
              <w:tc>
                <w:tcPr>
                  <w:tcW w:w="2492" w:type="pct"/>
                  <w:shd w:val="clear" w:color="auto" w:fill="auto"/>
                  <w:vAlign w:val="center"/>
                </w:tcPr>
                <w:p w14:paraId="611BC2C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体温探头</w:t>
                  </w:r>
                </w:p>
              </w:tc>
              <w:tc>
                <w:tcPr>
                  <w:tcW w:w="802" w:type="pct"/>
                  <w:shd w:val="clear" w:color="auto" w:fill="auto"/>
                  <w:vAlign w:val="center"/>
                </w:tcPr>
                <w:p w14:paraId="10D5AA6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59" w:type="pct"/>
                  <w:shd w:val="clear" w:color="auto" w:fill="auto"/>
                  <w:vAlign w:val="center"/>
                </w:tcPr>
                <w:p w14:paraId="1F96F6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072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287761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w:t>
                  </w:r>
                </w:p>
              </w:tc>
              <w:tc>
                <w:tcPr>
                  <w:tcW w:w="2492" w:type="pct"/>
                  <w:shd w:val="clear" w:color="auto" w:fill="auto"/>
                  <w:vAlign w:val="center"/>
                </w:tcPr>
                <w:p w14:paraId="42A9622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遥测说明书</w:t>
                  </w:r>
                </w:p>
              </w:tc>
              <w:tc>
                <w:tcPr>
                  <w:tcW w:w="802" w:type="pct"/>
                  <w:shd w:val="clear" w:color="auto" w:fill="auto"/>
                  <w:vAlign w:val="center"/>
                </w:tcPr>
                <w:p w14:paraId="08ED49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59" w:type="pct"/>
                  <w:shd w:val="clear" w:color="auto" w:fill="auto"/>
                  <w:vAlign w:val="center"/>
                </w:tcPr>
                <w:p w14:paraId="313CC3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r>
            <w:tr w14:paraId="3558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3AF569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2.20 </w:t>
                  </w:r>
                </w:p>
              </w:tc>
              <w:tc>
                <w:tcPr>
                  <w:tcW w:w="2492" w:type="pct"/>
                  <w:shd w:val="clear" w:color="auto" w:fill="auto"/>
                  <w:vAlign w:val="center"/>
                </w:tcPr>
                <w:p w14:paraId="7DE56BC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电源线</w:t>
                  </w:r>
                </w:p>
              </w:tc>
              <w:tc>
                <w:tcPr>
                  <w:tcW w:w="802" w:type="pct"/>
                  <w:shd w:val="clear" w:color="auto" w:fill="auto"/>
                  <w:vAlign w:val="center"/>
                </w:tcPr>
                <w:p w14:paraId="2EC0F7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7BD7CD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4986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0813EB3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2.21</w:t>
                  </w:r>
                </w:p>
              </w:tc>
              <w:tc>
                <w:tcPr>
                  <w:tcW w:w="2492" w:type="pct"/>
                  <w:shd w:val="clear" w:color="auto" w:fill="auto"/>
                  <w:vAlign w:val="center"/>
                </w:tcPr>
                <w:p w14:paraId="23B7DE4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接地线</w:t>
                  </w:r>
                </w:p>
              </w:tc>
              <w:tc>
                <w:tcPr>
                  <w:tcW w:w="802" w:type="pct"/>
                  <w:shd w:val="clear" w:color="auto" w:fill="auto"/>
                  <w:vAlign w:val="center"/>
                </w:tcPr>
                <w:p w14:paraId="7A4D9C0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509DF7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r>
            <w:tr w14:paraId="79E7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031ACE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2.22</w:t>
                  </w:r>
                </w:p>
              </w:tc>
              <w:tc>
                <w:tcPr>
                  <w:tcW w:w="2492" w:type="pct"/>
                  <w:shd w:val="clear" w:color="auto" w:fill="auto"/>
                  <w:vAlign w:val="center"/>
                </w:tcPr>
                <w:p w14:paraId="48A33B2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一次性心电电极片</w:t>
                  </w:r>
                </w:p>
              </w:tc>
              <w:tc>
                <w:tcPr>
                  <w:tcW w:w="802" w:type="pct"/>
                  <w:shd w:val="clear" w:color="auto" w:fill="auto"/>
                  <w:vAlign w:val="center"/>
                </w:tcPr>
                <w:p w14:paraId="7DF8C9A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3BA093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包</w:t>
                  </w:r>
                </w:p>
              </w:tc>
            </w:tr>
            <w:tr w14:paraId="2BAC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45" w:type="pct"/>
                  <w:shd w:val="clear" w:color="auto" w:fill="auto"/>
                  <w:vAlign w:val="center"/>
                </w:tcPr>
                <w:p w14:paraId="06CB4F1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2.23</w:t>
                  </w:r>
                </w:p>
              </w:tc>
              <w:tc>
                <w:tcPr>
                  <w:tcW w:w="2492" w:type="pct"/>
                  <w:shd w:val="clear" w:color="auto" w:fill="auto"/>
                  <w:vAlign w:val="center"/>
                </w:tcPr>
                <w:p w14:paraId="0C5A172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移动台车</w:t>
                  </w:r>
                </w:p>
              </w:tc>
              <w:tc>
                <w:tcPr>
                  <w:tcW w:w="802" w:type="pct"/>
                  <w:shd w:val="clear" w:color="auto" w:fill="auto"/>
                  <w:vAlign w:val="center"/>
                </w:tcPr>
                <w:p w14:paraId="7B74A30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959" w:type="pct"/>
                  <w:shd w:val="clear" w:color="auto" w:fill="auto"/>
                  <w:vAlign w:val="center"/>
                </w:tcPr>
                <w:p w14:paraId="26961E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r>
            <w:tr w14:paraId="64A2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390BE5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2.24</w:t>
                  </w:r>
                </w:p>
              </w:tc>
              <w:tc>
                <w:tcPr>
                  <w:tcW w:w="2492" w:type="pct"/>
                  <w:shd w:val="clear" w:color="auto" w:fill="auto"/>
                  <w:vAlign w:val="center"/>
                </w:tcPr>
                <w:p w14:paraId="72F58C7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挂墙支架</w:t>
                  </w:r>
                </w:p>
              </w:tc>
              <w:tc>
                <w:tcPr>
                  <w:tcW w:w="802" w:type="pct"/>
                  <w:shd w:val="clear" w:color="auto" w:fill="auto"/>
                  <w:vAlign w:val="center"/>
                </w:tcPr>
                <w:p w14:paraId="47FC23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959" w:type="pct"/>
                  <w:shd w:val="clear" w:color="auto" w:fill="auto"/>
                  <w:vAlign w:val="center"/>
                </w:tcPr>
                <w:p w14:paraId="3BED43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r>
            <w:tr w14:paraId="6D856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45" w:type="pct"/>
                  <w:shd w:val="clear" w:color="auto" w:fill="auto"/>
                  <w:vAlign w:val="center"/>
                </w:tcPr>
                <w:p w14:paraId="3D5F13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2.25</w:t>
                  </w:r>
                </w:p>
              </w:tc>
              <w:tc>
                <w:tcPr>
                  <w:tcW w:w="2492" w:type="pct"/>
                  <w:shd w:val="clear" w:color="auto" w:fill="auto"/>
                  <w:vAlign w:val="center"/>
                </w:tcPr>
                <w:p w14:paraId="259E250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中文说明书</w:t>
                  </w:r>
                </w:p>
              </w:tc>
              <w:tc>
                <w:tcPr>
                  <w:tcW w:w="802" w:type="pct"/>
                  <w:shd w:val="clear" w:color="auto" w:fill="auto"/>
                  <w:vAlign w:val="center"/>
                </w:tcPr>
                <w:p w14:paraId="395D6F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959" w:type="pct"/>
                  <w:shd w:val="clear" w:color="auto" w:fill="auto"/>
                  <w:vAlign w:val="center"/>
                </w:tcPr>
                <w:p w14:paraId="2C1548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r>
          </w:tbl>
          <w:p w14:paraId="5D8918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670" w:type="dxa"/>
            <w:shd w:val="clear" w:color="auto" w:fill="auto"/>
            <w:vAlign w:val="center"/>
          </w:tcPr>
          <w:p w14:paraId="64A295E1">
            <w:pPr>
              <w:jc w:val="center"/>
              <w:rPr>
                <w:rFonts w:hint="eastAsia" w:ascii="宋体" w:hAnsi="宋体" w:eastAsia="宋体" w:cs="宋体"/>
                <w:i w:val="0"/>
                <w:iCs w:val="0"/>
                <w:color w:val="000000"/>
                <w:sz w:val="20"/>
                <w:szCs w:val="20"/>
                <w:u w:val="none"/>
              </w:rPr>
            </w:pPr>
            <w:r>
              <w:rPr>
                <w:rFonts w:hint="eastAsia" w:ascii="宋体" w:hAnsi="宋体" w:eastAsia="宋体" w:cs="宋体"/>
                <w:b/>
                <w:bCs/>
                <w:color w:val="auto"/>
                <w:sz w:val="21"/>
                <w:szCs w:val="21"/>
              </w:rPr>
              <w:t>★</w:t>
            </w:r>
          </w:p>
        </w:tc>
      </w:tr>
    </w:tbl>
    <w:p w14:paraId="7566F06B">
      <w:pPr>
        <w:spacing w:line="400" w:lineRule="exact"/>
        <w:outlineLvl w:val="9"/>
        <w:rPr>
          <w:rFonts w:hint="eastAsia"/>
          <w:color w:val="000000" w:themeColor="text1"/>
          <w:sz w:val="24"/>
          <w:highlight w:val="yellow"/>
          <w:lang w:val="en-US" w:eastAsia="zh-CN"/>
          <w14:textFill>
            <w14:solidFill>
              <w14:schemeClr w14:val="tx1"/>
            </w14:solidFill>
          </w14:textFill>
        </w:rPr>
      </w:pPr>
    </w:p>
    <w:p w14:paraId="6821C663">
      <w:pPr>
        <w:spacing w:line="400" w:lineRule="exact"/>
        <w:outlineLvl w:val="9"/>
        <w:rPr>
          <w:rFonts w:hint="eastAsia"/>
          <w:b/>
          <w:color w:val="FF0000"/>
          <w:szCs w:val="21"/>
          <w:highlight w:val="none"/>
          <w:shd w:val="clear" w:color="auto" w:fill="auto"/>
          <w:lang w:eastAsia="zh-CN"/>
        </w:rPr>
      </w:pPr>
      <w:bookmarkStart w:id="7" w:name="_GoBack"/>
      <w:r>
        <w:rPr>
          <w:rFonts w:hint="eastAsia"/>
          <w:b/>
          <w:color w:val="FF0000"/>
          <w:sz w:val="21"/>
          <w:szCs w:val="21"/>
          <w:highlight w:val="none"/>
          <w:shd w:val="clear" w:color="auto" w:fill="auto"/>
          <w:lang w:val="en-US" w:eastAsia="zh-CN"/>
        </w:rPr>
        <w:t>注：</w:t>
      </w:r>
      <w:r>
        <w:rPr>
          <w:rFonts w:hint="eastAsia"/>
          <w:b/>
          <w:color w:val="FF0000"/>
          <w:szCs w:val="21"/>
          <w:highlight w:val="none"/>
          <w:shd w:val="clear" w:color="auto" w:fill="auto"/>
        </w:rPr>
        <w:t>带</w:t>
      </w:r>
      <w:r>
        <w:rPr>
          <w:rFonts w:hint="eastAsia"/>
          <w:b/>
          <w:color w:val="FF0000"/>
          <w:szCs w:val="21"/>
          <w:highlight w:val="none"/>
          <w:shd w:val="clear" w:color="auto" w:fill="auto"/>
          <w:lang w:eastAsia="zh-CN"/>
        </w:rPr>
        <w:t>“</w:t>
      </w:r>
      <w:r>
        <w:rPr>
          <w:rFonts w:hint="eastAsia"/>
          <w:b/>
          <w:color w:val="FF0000"/>
          <w:szCs w:val="21"/>
          <w:highlight w:val="none"/>
          <w:shd w:val="clear" w:color="auto" w:fill="auto"/>
        </w:rPr>
        <w:t>★</w:t>
      </w:r>
      <w:r>
        <w:rPr>
          <w:rFonts w:hint="eastAsia"/>
          <w:b/>
          <w:color w:val="FF0000"/>
          <w:szCs w:val="21"/>
          <w:highlight w:val="none"/>
          <w:shd w:val="clear" w:color="auto" w:fill="auto"/>
          <w:lang w:eastAsia="zh-CN"/>
        </w:rPr>
        <w:t>”</w:t>
      </w:r>
      <w:r>
        <w:rPr>
          <w:rFonts w:hint="eastAsia"/>
          <w:b/>
          <w:color w:val="FF0000"/>
          <w:szCs w:val="21"/>
          <w:highlight w:val="none"/>
          <w:shd w:val="clear" w:color="auto" w:fill="auto"/>
        </w:rPr>
        <w:t>条款</w:t>
      </w:r>
      <w:r>
        <w:rPr>
          <w:rFonts w:hint="eastAsia"/>
          <w:b/>
          <w:color w:val="FF0000"/>
          <w:szCs w:val="21"/>
          <w:highlight w:val="none"/>
          <w:shd w:val="clear" w:color="auto" w:fill="auto"/>
          <w:lang w:val="en-US" w:eastAsia="zh-CN"/>
        </w:rPr>
        <w:t>和</w:t>
      </w:r>
      <w:r>
        <w:rPr>
          <w:rFonts w:hint="eastAsia"/>
          <w:b/>
          <w:color w:val="FF0000"/>
          <w:szCs w:val="21"/>
          <w:highlight w:val="none"/>
          <w:shd w:val="clear" w:color="auto" w:fill="auto"/>
        </w:rPr>
        <w:t>带“▲”条款项为</w:t>
      </w:r>
      <w:r>
        <w:rPr>
          <w:rFonts w:hint="eastAsia"/>
          <w:b/>
          <w:color w:val="FF0000"/>
          <w:szCs w:val="21"/>
          <w:highlight w:val="none"/>
          <w:shd w:val="clear" w:color="auto" w:fill="auto"/>
          <w:lang w:val="en-US" w:eastAsia="zh-CN"/>
        </w:rPr>
        <w:t>不可修改的</w:t>
      </w:r>
      <w:r>
        <w:rPr>
          <w:rFonts w:hint="eastAsia"/>
          <w:b/>
          <w:color w:val="FF0000"/>
          <w:szCs w:val="21"/>
          <w:highlight w:val="none"/>
          <w:shd w:val="clear" w:color="auto" w:fill="auto"/>
        </w:rPr>
        <w:t>条款</w:t>
      </w:r>
      <w:r>
        <w:rPr>
          <w:rFonts w:hint="eastAsia"/>
          <w:b/>
          <w:color w:val="FF0000"/>
          <w:szCs w:val="21"/>
          <w:highlight w:val="none"/>
          <w:shd w:val="clear" w:color="auto" w:fill="auto"/>
          <w:lang w:eastAsia="zh-CN"/>
        </w:rPr>
        <w:t>。</w:t>
      </w:r>
      <w:r>
        <w:rPr>
          <w:rFonts w:hint="eastAsia"/>
          <w:b/>
          <w:color w:val="FF0000"/>
          <w:szCs w:val="21"/>
          <w:highlight w:val="none"/>
          <w:shd w:val="clear" w:color="auto" w:fill="auto"/>
          <w:lang w:val="en-US" w:eastAsia="zh-CN"/>
        </w:rPr>
        <w:t>如认为其</w:t>
      </w:r>
      <w:r>
        <w:rPr>
          <w:rFonts w:hint="eastAsia"/>
          <w:b/>
          <w:color w:val="FF0000"/>
          <w:szCs w:val="21"/>
          <w:highlight w:val="none"/>
          <w:shd w:val="clear" w:color="auto" w:fill="auto"/>
          <w:lang w:eastAsia="zh-CN"/>
        </w:rPr>
        <w:t>中有歧视性、排他性或者限制性的内容，将根据本次调查提供的模板要求，本着诚实信用原则，真实填写意见和建议。</w:t>
      </w:r>
    </w:p>
    <w:bookmarkEnd w:id="7"/>
    <w:p w14:paraId="6FF8D5E2">
      <w:pPr>
        <w:spacing w:line="400" w:lineRule="exact"/>
        <w:outlineLvl w:val="9"/>
        <w:rPr>
          <w:rFonts w:hint="eastAsia" w:ascii="宋体" w:hAnsi="宋体" w:eastAsiaTheme="minorEastAsia" w:cstheme="minorEastAsia"/>
          <w:b/>
          <w:bCs/>
          <w:szCs w:val="21"/>
          <w:highlight w:val="yellow"/>
        </w:rPr>
      </w:pPr>
    </w:p>
    <w:p w14:paraId="330C2C6A">
      <w:pPr>
        <w:rPr>
          <w:rFonts w:hint="eastAsia"/>
        </w:rPr>
      </w:pPr>
      <w:r>
        <w:rPr>
          <w:rFonts w:hint="eastAsia"/>
        </w:rPr>
        <w:br w:type="page"/>
      </w:r>
    </w:p>
    <w:p w14:paraId="63FDE129">
      <w:pPr>
        <w:pStyle w:val="11"/>
        <w:rPr>
          <w:rFonts w:hint="eastAsia"/>
        </w:rPr>
      </w:pPr>
    </w:p>
    <w:bookmarkEnd w:id="6"/>
    <w:p w14:paraId="0B60B7D1">
      <w:pPr>
        <w:pStyle w:val="71"/>
        <w:widowControl/>
        <w:numPr>
          <w:ilvl w:val="0"/>
          <w:numId w:val="0"/>
        </w:numPr>
        <w:spacing w:before="100" w:beforeAutospacing="1" w:after="100" w:afterAutospacing="1" w:line="405" w:lineRule="atLeast"/>
        <w:ind w:left="1280" w:hanging="720" w:firstLineChars="0"/>
        <w:jc w:val="left"/>
        <w:outlineLvl w:val="1"/>
        <w:rPr>
          <w:rFonts w:ascii="宋体" w:hAnsi="宋体" w:eastAsia="宋体" w:cs="宋体"/>
          <w:kern w:val="0"/>
          <w:sz w:val="28"/>
          <w:szCs w:val="28"/>
        </w:rPr>
      </w:pPr>
      <w:r>
        <w:rPr>
          <w:rFonts w:hint="default" w:ascii="宋体" w:hAnsi="宋体" w:eastAsia="宋体" w:cs="微软雅黑"/>
          <w:color w:val="000000"/>
          <w:kern w:val="0"/>
          <w:sz w:val="36"/>
          <w:szCs w:val="36"/>
          <w:lang w:val="en-US" w:eastAsia="zh-CN" w:bidi="ar"/>
        </w:rPr>
        <w:t>四、</w:t>
      </w:r>
      <w:r>
        <w:rPr>
          <w:rFonts w:hint="eastAsia" w:ascii="宋体" w:hAnsi="宋体" w:eastAsia="宋体" w:cs="微软雅黑"/>
          <w:color w:val="000000"/>
          <w:kern w:val="0"/>
          <w:sz w:val="36"/>
          <w:szCs w:val="36"/>
          <w:lang w:val="en-US" w:eastAsia="zh-CN" w:bidi="ar"/>
        </w:rPr>
        <w:t>商务要求</w:t>
      </w:r>
    </w:p>
    <w:tbl>
      <w:tblPr>
        <w:tblStyle w:val="20"/>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23"/>
        <w:gridCol w:w="6539"/>
      </w:tblGrid>
      <w:tr w14:paraId="39AB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33C20EF">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8062" w:type="dxa"/>
            <w:gridSpan w:val="2"/>
            <w:vAlign w:val="center"/>
          </w:tcPr>
          <w:p w14:paraId="78AB04F3">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商务要求具体内容</w:t>
            </w:r>
          </w:p>
        </w:tc>
      </w:tr>
      <w:tr w14:paraId="5241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6CD4E01A">
            <w:pPr>
              <w:adjustRightInd w:val="0"/>
              <w:snapToGrid w:val="0"/>
              <w:spacing w:line="276" w:lineRule="auto"/>
              <w:jc w:val="left"/>
              <w:rPr>
                <w:rFonts w:hint="eastAsia" w:ascii="宋体" w:hAnsi="宋体" w:eastAsia="宋体" w:cs="宋体"/>
                <w:b/>
                <w:bCs/>
                <w:kern w:val="0"/>
                <w:sz w:val="21"/>
                <w:szCs w:val="21"/>
              </w:rPr>
            </w:pPr>
            <w:r>
              <w:rPr>
                <w:rFonts w:hint="eastAsia" w:ascii="宋体" w:hAnsi="宋体" w:eastAsia="宋体" w:cs="宋体"/>
                <w:b/>
                <w:sz w:val="21"/>
                <w:szCs w:val="21"/>
              </w:rPr>
              <w:t>（一）免费保修期内售后服务要求</w:t>
            </w:r>
          </w:p>
        </w:tc>
      </w:tr>
      <w:tr w14:paraId="43A8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04" w:type="dxa"/>
            <w:vAlign w:val="center"/>
          </w:tcPr>
          <w:p w14:paraId="2FB113E7">
            <w:pPr>
              <w:spacing w:line="276" w:lineRule="auto"/>
              <w:jc w:val="center"/>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lang w:val="en-US" w:eastAsia="zh-CN"/>
              </w:rPr>
              <w:t>1</w:t>
            </w:r>
          </w:p>
        </w:tc>
        <w:tc>
          <w:tcPr>
            <w:tcW w:w="1523" w:type="dxa"/>
            <w:vAlign w:val="center"/>
          </w:tcPr>
          <w:p w14:paraId="30328357">
            <w:pPr>
              <w:spacing w:line="276" w:lineRule="auto"/>
              <w:jc w:val="center"/>
              <w:rPr>
                <w:rFonts w:hint="eastAsia" w:ascii="宋体" w:hAnsi="宋体" w:eastAsia="宋体" w:cs="宋体"/>
                <w:b w:val="0"/>
                <w:bCs w:val="0"/>
                <w:kern w:val="0"/>
                <w:sz w:val="21"/>
                <w:szCs w:val="21"/>
              </w:rPr>
            </w:pPr>
            <w:r>
              <w:rPr>
                <w:rFonts w:hint="eastAsia" w:ascii="宋体" w:hAnsi="宋体" w:eastAsia="宋体" w:cs="宋体"/>
                <w:b w:val="0"/>
                <w:bCs w:val="0"/>
                <w:sz w:val="21"/>
                <w:szCs w:val="21"/>
              </w:rPr>
              <w:t>★免费保修期</w:t>
            </w:r>
          </w:p>
        </w:tc>
        <w:tc>
          <w:tcPr>
            <w:tcW w:w="6539" w:type="dxa"/>
          </w:tcPr>
          <w:p w14:paraId="31EA4820">
            <w:pPr>
              <w:spacing w:line="276" w:lineRule="auto"/>
              <w:jc w:val="left"/>
              <w:rPr>
                <w:rFonts w:hint="eastAsia" w:ascii="宋体" w:hAnsi="宋体" w:eastAsia="宋体" w:cs="宋体"/>
                <w:sz w:val="21"/>
                <w:szCs w:val="21"/>
              </w:rPr>
            </w:pPr>
            <w:r>
              <w:rPr>
                <w:rFonts w:hint="eastAsia" w:ascii="宋体" w:hAnsi="宋体" w:eastAsia="宋体" w:cs="宋体"/>
                <w:sz w:val="21"/>
                <w:szCs w:val="21"/>
              </w:rPr>
              <w:t>1.货物免费保</w:t>
            </w:r>
            <w:r>
              <w:rPr>
                <w:rFonts w:hint="eastAsia" w:ascii="宋体" w:hAnsi="宋体" w:eastAsia="宋体" w:cs="宋体"/>
                <w:sz w:val="21"/>
                <w:szCs w:val="21"/>
                <w:highlight w:val="none"/>
              </w:rPr>
              <w:t>修期</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年，时间自</w:t>
            </w:r>
            <w:r>
              <w:rPr>
                <w:rFonts w:hint="eastAsia" w:ascii="宋体" w:hAnsi="宋体" w:eastAsia="宋体" w:cs="宋体"/>
                <w:sz w:val="21"/>
                <w:szCs w:val="21"/>
              </w:rPr>
              <w:t>最终验收合格并交付使用之日起计算。</w:t>
            </w:r>
          </w:p>
          <w:p w14:paraId="780EF023">
            <w:pPr>
              <w:spacing w:line="276" w:lineRule="auto"/>
              <w:jc w:val="left"/>
              <w:rPr>
                <w:rFonts w:hint="eastAsia" w:ascii="宋体" w:hAnsi="宋体" w:eastAsia="宋体" w:cs="宋体"/>
                <w:sz w:val="21"/>
                <w:szCs w:val="21"/>
              </w:rPr>
            </w:pPr>
            <w:r>
              <w:rPr>
                <w:rFonts w:hint="eastAsia" w:ascii="宋体" w:hAnsi="宋体" w:eastAsia="宋体" w:cs="宋体"/>
                <w:sz w:val="21"/>
                <w:szCs w:val="21"/>
              </w:rPr>
              <w:t>2.保修期内，中标人需全部免费提供原装零配件及维修，特殊情况下可提供备用机；</w:t>
            </w:r>
          </w:p>
          <w:p w14:paraId="507AF188">
            <w:pPr>
              <w:spacing w:line="276" w:lineRule="auto"/>
              <w:jc w:val="left"/>
              <w:rPr>
                <w:rFonts w:hint="eastAsia" w:ascii="宋体" w:hAnsi="宋体" w:eastAsia="宋体" w:cs="宋体"/>
                <w:sz w:val="21"/>
                <w:szCs w:val="21"/>
              </w:rPr>
            </w:pPr>
            <w:r>
              <w:rPr>
                <w:rFonts w:hint="eastAsia" w:ascii="宋体" w:hAnsi="宋体" w:eastAsia="宋体" w:cs="宋体"/>
                <w:sz w:val="21"/>
                <w:szCs w:val="21"/>
              </w:rPr>
              <w:t>3.保修期内，每年免费对设备进行维护，一年四次（每季度一次）；</w:t>
            </w:r>
          </w:p>
          <w:p w14:paraId="41678184">
            <w:pPr>
              <w:spacing w:line="276" w:lineRule="auto"/>
              <w:jc w:val="left"/>
              <w:rPr>
                <w:rFonts w:hint="eastAsia" w:ascii="宋体" w:hAnsi="宋体" w:eastAsia="宋体" w:cs="宋体"/>
                <w:sz w:val="21"/>
                <w:szCs w:val="21"/>
              </w:rPr>
            </w:pPr>
            <w:r>
              <w:rPr>
                <w:rFonts w:hint="eastAsia" w:ascii="宋体" w:hAnsi="宋体" w:eastAsia="宋体" w:cs="宋体"/>
                <w:sz w:val="21"/>
                <w:szCs w:val="21"/>
              </w:rPr>
              <w:t>4.保修期内，接到采购人的报修通知，应在4小时内响应，24小时内维修到位（不可抗力情况除外）。不需要更换配件的情况下24小时内修复；需要更换配件的情况下，单次故障停机修复时间不得超过2天，每超1天，顺延保修期1天。在国内没有配件需从国外发货的情况下，单次故障停机修复时间不得超过7天（需提供海关报关单等证明材料），每超1天，顺延保修期1天。保修期结束前1个月内，中标人联合厂家工程师或授权维修企业工程师对所供应设备进行一次全面巡检保养，并提供质保期内所有巡检维护保养报告；</w:t>
            </w:r>
          </w:p>
          <w:p w14:paraId="56A3AF74">
            <w:pPr>
              <w:spacing w:line="276" w:lineRule="auto"/>
              <w:jc w:val="left"/>
              <w:rPr>
                <w:rFonts w:hint="eastAsia" w:ascii="宋体" w:hAnsi="宋体" w:eastAsia="宋体" w:cs="宋体"/>
                <w:sz w:val="21"/>
                <w:szCs w:val="21"/>
              </w:rPr>
            </w:pPr>
            <w:r>
              <w:rPr>
                <w:rFonts w:hint="eastAsia" w:ascii="宋体" w:hAnsi="宋体" w:eastAsia="宋体" w:cs="宋体"/>
                <w:sz w:val="21"/>
                <w:szCs w:val="21"/>
              </w:rPr>
              <w:t>5.保修期内，中标人应确保设备年开机率在 98%（含）以上，若达不到此开机率，将作以下处理：年开机率在 90%（含）-98%（不含） 之间，需延长壹年维保期；年开机率在85%（含）-90%（不含）之间，需延长贰年维保期；年开机率低于85% ，中标人必须无条件更换新设备，并重新计算新设备的维保期，并赔偿采购人的直接经济损失和间接经济损失。【注：年开机率=（年工作日天数-停机天数）/年工作日天数】</w:t>
            </w:r>
          </w:p>
          <w:p w14:paraId="26BE83AD">
            <w:pPr>
              <w:spacing w:line="276" w:lineRule="auto"/>
              <w:jc w:val="left"/>
              <w:rPr>
                <w:rFonts w:hint="eastAsia" w:ascii="宋体" w:hAnsi="宋体" w:eastAsia="宋体" w:cs="宋体"/>
                <w:sz w:val="21"/>
                <w:szCs w:val="21"/>
              </w:rPr>
            </w:pPr>
            <w:r>
              <w:rPr>
                <w:rFonts w:hint="eastAsia" w:ascii="宋体" w:hAnsi="宋体" w:eastAsia="宋体" w:cs="宋体"/>
                <w:sz w:val="21"/>
                <w:szCs w:val="21"/>
              </w:rPr>
              <w:t>6.中标后签订合同前提供工程师电话和技术维修力量情况和维修的详细地址及联系方式；</w:t>
            </w:r>
          </w:p>
          <w:p w14:paraId="31A5DE7B">
            <w:pPr>
              <w:spacing w:line="276" w:lineRule="auto"/>
              <w:jc w:val="left"/>
              <w:rPr>
                <w:rFonts w:hint="eastAsia" w:ascii="宋体" w:hAnsi="宋体" w:eastAsia="宋体" w:cs="宋体"/>
                <w:sz w:val="21"/>
                <w:szCs w:val="21"/>
              </w:rPr>
            </w:pPr>
            <w:r>
              <w:rPr>
                <w:rFonts w:hint="eastAsia" w:ascii="宋体" w:hAnsi="宋体" w:eastAsia="宋体" w:cs="宋体"/>
                <w:sz w:val="21"/>
                <w:szCs w:val="21"/>
              </w:rPr>
              <w:t>7.场地迁移，需要移机时，中标人</w:t>
            </w:r>
            <w:r>
              <w:rPr>
                <w:rFonts w:hint="eastAsia" w:ascii="宋体" w:hAnsi="宋体" w:eastAsia="宋体" w:cs="宋体"/>
                <w:sz w:val="21"/>
                <w:szCs w:val="21"/>
                <w:lang w:val="en-US" w:eastAsia="zh-CN"/>
              </w:rPr>
              <w:t>需</w:t>
            </w:r>
            <w:r>
              <w:rPr>
                <w:rFonts w:hint="eastAsia" w:ascii="宋体" w:hAnsi="宋体" w:eastAsia="宋体" w:cs="宋体"/>
                <w:sz w:val="21"/>
                <w:szCs w:val="21"/>
              </w:rPr>
              <w:t>提供免费迁移服务并提供技术支持，确保机器的正常使用。</w:t>
            </w:r>
          </w:p>
        </w:tc>
      </w:tr>
      <w:tr w14:paraId="23BE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8CFD4AC">
            <w:pPr>
              <w:spacing w:line="276"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2</w:t>
            </w:r>
          </w:p>
        </w:tc>
        <w:tc>
          <w:tcPr>
            <w:tcW w:w="1523" w:type="dxa"/>
            <w:vAlign w:val="center"/>
          </w:tcPr>
          <w:p w14:paraId="3428A01C">
            <w:pPr>
              <w:spacing w:line="276" w:lineRule="auto"/>
              <w:jc w:val="center"/>
              <w:rPr>
                <w:rFonts w:hint="eastAsia" w:ascii="宋体" w:hAnsi="宋体" w:eastAsia="宋体" w:cs="宋体"/>
                <w:kern w:val="0"/>
                <w:sz w:val="21"/>
                <w:szCs w:val="21"/>
              </w:rPr>
            </w:pPr>
            <w:r>
              <w:rPr>
                <w:rFonts w:hint="eastAsia" w:ascii="宋体" w:hAnsi="宋体" w:eastAsia="宋体" w:cs="宋体"/>
                <w:b/>
                <w:sz w:val="21"/>
                <w:szCs w:val="21"/>
              </w:rPr>
              <w:t>★</w:t>
            </w:r>
            <w:r>
              <w:rPr>
                <w:rFonts w:hint="eastAsia" w:ascii="宋体" w:hAnsi="宋体" w:eastAsia="宋体" w:cs="宋体"/>
                <w:bCs/>
                <w:sz w:val="21"/>
                <w:szCs w:val="21"/>
              </w:rPr>
              <w:t>安装调试</w:t>
            </w:r>
          </w:p>
        </w:tc>
        <w:tc>
          <w:tcPr>
            <w:tcW w:w="6539" w:type="dxa"/>
            <w:vAlign w:val="center"/>
          </w:tcPr>
          <w:p w14:paraId="54280D68">
            <w:pPr>
              <w:spacing w:line="276" w:lineRule="auto"/>
              <w:rPr>
                <w:rFonts w:hint="eastAsia" w:ascii="宋体" w:hAnsi="宋体" w:eastAsia="宋体" w:cs="宋体"/>
                <w:kern w:val="0"/>
                <w:sz w:val="21"/>
                <w:szCs w:val="21"/>
              </w:rPr>
            </w:pPr>
            <w:r>
              <w:rPr>
                <w:rFonts w:hint="eastAsia" w:ascii="宋体" w:hAnsi="宋体" w:eastAsia="宋体" w:cs="宋体"/>
                <w:kern w:val="0"/>
                <w:sz w:val="21"/>
                <w:szCs w:val="21"/>
              </w:rPr>
              <w:t>免费负责安装、调试、免费提供技术咨询、软件升级。</w:t>
            </w:r>
          </w:p>
        </w:tc>
      </w:tr>
      <w:tr w14:paraId="2C00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555B68A3">
            <w:pPr>
              <w:spacing w:line="276" w:lineRule="auto"/>
              <w:rPr>
                <w:rFonts w:hint="eastAsia" w:ascii="宋体" w:hAnsi="宋体" w:eastAsia="宋体" w:cs="宋体"/>
                <w:sz w:val="21"/>
                <w:szCs w:val="21"/>
              </w:rPr>
            </w:pPr>
            <w:r>
              <w:rPr>
                <w:rFonts w:hint="eastAsia" w:ascii="宋体" w:hAnsi="宋体" w:eastAsia="宋体" w:cs="宋体"/>
                <w:b/>
                <w:bCs/>
                <w:sz w:val="21"/>
                <w:szCs w:val="21"/>
              </w:rPr>
              <w:t>（二）免费保修期外售后服务要求</w:t>
            </w:r>
          </w:p>
        </w:tc>
      </w:tr>
      <w:tr w14:paraId="6A5B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04" w:type="dxa"/>
            <w:vAlign w:val="center"/>
          </w:tcPr>
          <w:p w14:paraId="1D9B2DDE">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1523" w:type="dxa"/>
            <w:vAlign w:val="center"/>
          </w:tcPr>
          <w:p w14:paraId="75AD2D00">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w:t>
            </w:r>
            <w:r>
              <w:rPr>
                <w:rStyle w:val="23"/>
                <w:rFonts w:hint="eastAsia" w:ascii="宋体" w:hAnsi="宋体" w:eastAsia="宋体" w:cs="宋体"/>
                <w:b w:val="0"/>
                <w:bCs/>
                <w:color w:val="000000"/>
                <w:sz w:val="21"/>
                <w:szCs w:val="21"/>
              </w:rPr>
              <w:t>维修零配件、消耗品和延续保修合同的报价</w:t>
            </w:r>
          </w:p>
        </w:tc>
        <w:tc>
          <w:tcPr>
            <w:tcW w:w="6539" w:type="dxa"/>
            <w:vAlign w:val="center"/>
          </w:tcPr>
          <w:p w14:paraId="648E57BA">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1.由设备制造商提供售后服务，4小时内响应，24小时维修到位，并在48小时内消除故障（不可抗力情况除外）。消耗品和零配件供应及时，特殊情况下可提供备用机。在境内有相对应的零配件保税库，于中标后出具证明文件。</w:t>
            </w:r>
          </w:p>
          <w:p w14:paraId="1C7ED79D">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2.保修期外，中标人应提供免费维修服务及保证原装配件的及时供应，采购人仅负责零配件购置费；</w:t>
            </w:r>
          </w:p>
          <w:p w14:paraId="510FCD0D">
            <w:pPr>
              <w:spacing w:line="276" w:lineRule="auto"/>
              <w:jc w:val="left"/>
              <w:rPr>
                <w:rFonts w:hint="eastAsia" w:ascii="宋体" w:hAnsi="宋体" w:eastAsia="宋体" w:cs="宋体"/>
                <w:sz w:val="21"/>
                <w:szCs w:val="21"/>
              </w:rPr>
            </w:pPr>
            <w:r>
              <w:rPr>
                <w:rFonts w:hint="eastAsia" w:ascii="宋体" w:hAnsi="宋体" w:eastAsia="宋体" w:cs="宋体"/>
                <w:kern w:val="0"/>
                <w:sz w:val="21"/>
                <w:szCs w:val="21"/>
              </w:rPr>
              <w:t>3.</w:t>
            </w:r>
            <w:r>
              <w:rPr>
                <w:rFonts w:hint="eastAsia" w:ascii="宋体" w:hAnsi="宋体" w:eastAsia="宋体" w:cs="宋体"/>
                <w:sz w:val="21"/>
                <w:szCs w:val="21"/>
              </w:rPr>
              <w:t>免费提供技术咨询、</w:t>
            </w:r>
            <w:r>
              <w:rPr>
                <w:rFonts w:hint="eastAsia" w:ascii="宋体" w:hAnsi="宋体" w:eastAsia="宋体" w:cs="宋体"/>
                <w:kern w:val="0"/>
                <w:sz w:val="21"/>
                <w:szCs w:val="21"/>
              </w:rPr>
              <w:t>软件终身免费升级，不能设置使用期限。</w:t>
            </w:r>
            <w:r>
              <w:rPr>
                <w:rFonts w:hint="eastAsia" w:ascii="宋体" w:hAnsi="宋体" w:eastAsia="宋体" w:cs="宋体"/>
                <w:sz w:val="21"/>
                <w:szCs w:val="21"/>
              </w:rPr>
              <w:t>软件升级后需对人员培训，以保证买方工作人员掌握设备各种使用操作。</w:t>
            </w:r>
          </w:p>
        </w:tc>
      </w:tr>
      <w:tr w14:paraId="0F07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589B2764">
            <w:pPr>
              <w:spacing w:line="276" w:lineRule="auto"/>
              <w:rPr>
                <w:rFonts w:hint="eastAsia" w:ascii="宋体" w:hAnsi="宋体" w:eastAsia="宋体" w:cs="宋体"/>
                <w:bCs/>
                <w:sz w:val="21"/>
                <w:szCs w:val="21"/>
              </w:rPr>
            </w:pPr>
            <w:r>
              <w:rPr>
                <w:rFonts w:hint="eastAsia" w:ascii="宋体" w:hAnsi="宋体" w:eastAsia="宋体" w:cs="宋体"/>
                <w:b/>
                <w:sz w:val="21"/>
                <w:szCs w:val="21"/>
              </w:rPr>
              <w:t>（三）其他商务要求</w:t>
            </w:r>
          </w:p>
        </w:tc>
      </w:tr>
      <w:tr w14:paraId="0F12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jc w:val="center"/>
        </w:trPr>
        <w:tc>
          <w:tcPr>
            <w:tcW w:w="704" w:type="dxa"/>
            <w:vAlign w:val="center"/>
          </w:tcPr>
          <w:p w14:paraId="63B17183">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523" w:type="dxa"/>
            <w:vAlign w:val="center"/>
          </w:tcPr>
          <w:p w14:paraId="38C1EC26">
            <w:pPr>
              <w:spacing w:line="276" w:lineRule="auto"/>
              <w:jc w:val="center"/>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交货要求</w:t>
            </w:r>
          </w:p>
        </w:tc>
        <w:tc>
          <w:tcPr>
            <w:tcW w:w="6539" w:type="dxa"/>
            <w:vAlign w:val="center"/>
          </w:tcPr>
          <w:p w14:paraId="2839D0CD">
            <w:pPr>
              <w:spacing w:line="276"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1.</w:t>
            </w:r>
            <w:r>
              <w:rPr>
                <w:rFonts w:hint="eastAsia" w:ascii="宋体" w:hAnsi="宋体" w:eastAsia="宋体" w:cs="宋体"/>
                <w:bCs/>
                <w:sz w:val="21"/>
                <w:szCs w:val="21"/>
                <w:highlight w:val="none"/>
              </w:rPr>
              <w:t>中标人在签订合同之日并接</w:t>
            </w:r>
            <w:r>
              <w:rPr>
                <w:rFonts w:hint="eastAsia" w:asciiTheme="minorEastAsia" w:hAnsiTheme="minorEastAsia" w:eastAsiaTheme="minorEastAsia" w:cstheme="minorEastAsia"/>
                <w:bCs/>
                <w:color w:val="auto"/>
                <w:sz w:val="21"/>
                <w:szCs w:val="21"/>
                <w:highlight w:val="none"/>
              </w:rPr>
              <w:t>采购人</w:t>
            </w:r>
            <w:r>
              <w:rPr>
                <w:rFonts w:hint="eastAsia" w:ascii="宋体" w:hAnsi="宋体" w:eastAsia="宋体" w:cs="宋体"/>
                <w:bCs/>
                <w:sz w:val="21"/>
                <w:szCs w:val="21"/>
                <w:highlight w:val="none"/>
              </w:rPr>
              <w:t>通知后</w:t>
            </w:r>
            <w:r>
              <w:rPr>
                <w:rFonts w:hint="eastAsia" w:ascii="宋体" w:hAnsi="宋体" w:eastAsia="宋体" w:cs="宋体"/>
                <w:bCs/>
                <w:sz w:val="21"/>
                <w:szCs w:val="21"/>
                <w:highlight w:val="none"/>
                <w:u w:val="single"/>
                <w:lang w:val="en-US" w:eastAsia="zh-CN"/>
              </w:rPr>
              <w:t xml:space="preserve"> 30 </w:t>
            </w:r>
            <w:r>
              <w:rPr>
                <w:rFonts w:hint="eastAsia" w:ascii="宋体" w:hAnsi="宋体" w:eastAsia="宋体" w:cs="宋体"/>
                <w:bCs/>
                <w:sz w:val="21"/>
                <w:szCs w:val="21"/>
                <w:highlight w:val="none"/>
              </w:rPr>
              <w:t>天内交货，交货地点为</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采购人指定地点</w:t>
            </w:r>
            <w:r>
              <w:rPr>
                <w:rFonts w:hint="eastAsia" w:ascii="宋体" w:hAnsi="宋体" w:eastAsia="宋体" w:cs="宋体"/>
                <w:bCs/>
                <w:sz w:val="21"/>
                <w:szCs w:val="21"/>
                <w:highlight w:val="none"/>
              </w:rPr>
              <w:t>。</w:t>
            </w:r>
          </w:p>
          <w:p w14:paraId="39192324">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供应商应提供全套、完整的书面技术资料，</w:t>
            </w:r>
            <w:r>
              <w:rPr>
                <w:rFonts w:hint="eastAsia" w:ascii="宋体" w:hAnsi="宋体" w:eastAsia="宋体" w:cs="宋体"/>
                <w:color w:val="auto"/>
                <w:kern w:val="0"/>
                <w:sz w:val="21"/>
                <w:szCs w:val="21"/>
                <w:highlight w:val="none"/>
              </w:rPr>
              <w:t>包括但不限于设备配置清单、产品说明书、图纸、操作手册、维护手册（含维修密码及接口数据）、质量保证文件、服务指南等，所有外文资料提供中文译本。文件应随货物一并交付至采购人指定地点。</w:t>
            </w:r>
          </w:p>
          <w:p w14:paraId="1E4CB5C9">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bCs/>
                <w:sz w:val="21"/>
                <w:szCs w:val="21"/>
                <w:highlight w:val="none"/>
              </w:rPr>
              <w:t>本次采购的设备和材料必须是全新的，</w:t>
            </w:r>
            <w:r>
              <w:rPr>
                <w:rFonts w:hint="eastAsia" w:ascii="宋体" w:hAnsi="宋体" w:eastAsia="宋体" w:cs="宋体"/>
                <w:color w:val="auto"/>
                <w:kern w:val="0"/>
                <w:sz w:val="21"/>
                <w:szCs w:val="21"/>
                <w:highlight w:val="none"/>
              </w:rPr>
              <w:t>设备到达采购人安装现场时外包装应完好无损，生产日期在采购人收到货物日期前6个月内，最新生产批次且经检验合格的产品。</w:t>
            </w:r>
            <w:r>
              <w:rPr>
                <w:rFonts w:hint="eastAsia" w:ascii="宋体" w:hAnsi="宋体" w:eastAsia="宋体" w:cs="宋体"/>
                <w:bCs/>
                <w:sz w:val="21"/>
                <w:szCs w:val="21"/>
                <w:highlight w:val="none"/>
              </w:rPr>
              <w:t>包装方式按照原厂出厂原标准</w:t>
            </w:r>
            <w:r>
              <w:rPr>
                <w:rFonts w:hint="eastAsia" w:ascii="宋体" w:hAnsi="宋体" w:eastAsia="宋体" w:cs="宋体"/>
                <w:bCs/>
                <w:sz w:val="21"/>
                <w:szCs w:val="21"/>
                <w:highlight w:val="none"/>
                <w:lang w:eastAsia="zh-CN"/>
              </w:rPr>
              <w:t>，</w:t>
            </w:r>
            <w:r>
              <w:rPr>
                <w:rFonts w:hint="eastAsia"/>
                <w:highlight w:val="none"/>
                <w:lang w:val="en-US" w:eastAsia="zh-CN"/>
              </w:rPr>
              <w:t>所投</w:t>
            </w:r>
            <w:r>
              <w:rPr>
                <w:rFonts w:hint="eastAsia" w:ascii="宋体" w:hAnsi="宋体" w:eastAsia="宋体" w:cs="宋体"/>
                <w:color w:val="auto"/>
                <w:kern w:val="0"/>
                <w:sz w:val="21"/>
                <w:szCs w:val="21"/>
                <w:highlight w:val="none"/>
              </w:rPr>
              <w:t>产品主机为整机原厂生产产品。</w:t>
            </w:r>
          </w:p>
          <w:p w14:paraId="14AE1341">
            <w:pPr>
              <w:pStyle w:val="79"/>
              <w:spacing w:line="276" w:lineRule="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采购人有权检验或测试货物，以确认货物是否符合合同规格的要求，并且不承担额外的费用。如发现所交货物与投标文件中所承诺的不符或存在质量、技术缺陷等,采购人可以拒绝接收该货物,中标人应在 7 日历日内采取补足、更换或退货等措施,以满足规格的要求，由此发生的一切损失和费用由中标人承担。</w:t>
            </w:r>
          </w:p>
          <w:p w14:paraId="4A0BC75A">
            <w:pPr>
              <w:spacing w:line="276" w:lineRule="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5.</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负责货物的现场安装和调试,提供货物安装、调试和维修所需的专用工具和辅助材料。</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应在货物运至指定地点后</w:t>
            </w:r>
            <w:r>
              <w:rPr>
                <w:rFonts w:hint="eastAsia" w:asciiTheme="minorEastAsia" w:hAnsiTheme="minorEastAsia" w:eastAsiaTheme="minorEastAsia" w:cstheme="minorEastAsia"/>
                <w:bCs/>
                <w:color w:val="auto"/>
                <w:kern w:val="0"/>
                <w:sz w:val="21"/>
                <w:szCs w:val="21"/>
                <w:highlight w:val="none"/>
                <w:u w:val="single"/>
              </w:rPr>
              <w:t xml:space="preserve"> 7 </w:t>
            </w:r>
            <w:r>
              <w:rPr>
                <w:rFonts w:hint="eastAsia" w:asciiTheme="minorEastAsia" w:hAnsiTheme="minorEastAsia" w:eastAsiaTheme="minorEastAsia" w:cstheme="minorEastAsia"/>
                <w:color w:val="auto"/>
                <w:spacing w:val="-3"/>
                <w:sz w:val="21"/>
                <w:szCs w:val="21"/>
                <w:highlight w:val="none"/>
              </w:rPr>
              <w:t>天内开始安装调试,并安装调试完毕。</w:t>
            </w:r>
          </w:p>
        </w:tc>
      </w:tr>
      <w:tr w14:paraId="78C4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3D599DB">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2</w:t>
            </w:r>
          </w:p>
        </w:tc>
        <w:tc>
          <w:tcPr>
            <w:tcW w:w="1523" w:type="dxa"/>
            <w:vAlign w:val="center"/>
          </w:tcPr>
          <w:p w14:paraId="579DCA4D">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★付款期限和方式</w:t>
            </w:r>
          </w:p>
        </w:tc>
        <w:tc>
          <w:tcPr>
            <w:tcW w:w="6539" w:type="dxa"/>
            <w:vAlign w:val="center"/>
          </w:tcPr>
          <w:p w14:paraId="5DBCA342">
            <w:pPr>
              <w:spacing w:line="276" w:lineRule="auto"/>
              <w:ind w:firstLine="0" w:firstLineChars="0"/>
            </w:pPr>
            <w:r>
              <w:rPr>
                <w:rFonts w:hint="eastAsia" w:asciiTheme="minorEastAsia" w:hAnsiTheme="minorEastAsia" w:cstheme="minorEastAsia"/>
                <w:bCs/>
                <w:color w:val="auto"/>
                <w:sz w:val="21"/>
                <w:szCs w:val="21"/>
                <w:highlight w:val="none"/>
                <w:lang w:val="en-US" w:eastAsia="zh-CN"/>
              </w:rPr>
              <w:t>1.</w:t>
            </w:r>
            <w:r>
              <w:rPr>
                <w:rFonts w:hint="eastAsia" w:asciiTheme="minorEastAsia" w:hAnsiTheme="minorEastAsia" w:cstheme="minorEastAsia"/>
                <w:bCs/>
                <w:color w:val="auto"/>
                <w:szCs w:val="21"/>
                <w:highlight w:val="none"/>
              </w:rPr>
              <w:t>货到安装、调试验收合格</w:t>
            </w:r>
            <w:r>
              <w:rPr>
                <w:rFonts w:hint="eastAsia" w:asciiTheme="minorEastAsia" w:hAnsiTheme="minorEastAsia" w:eastAsiaTheme="minorEastAsia" w:cstheme="minorEastAsia"/>
                <w:bCs/>
                <w:color w:val="auto"/>
                <w:sz w:val="21"/>
                <w:szCs w:val="21"/>
                <w:highlight w:val="none"/>
              </w:rPr>
              <w:t>正常使用</w:t>
            </w:r>
            <w:r>
              <w:rPr>
                <w:rFonts w:hint="eastAsia" w:asciiTheme="minorEastAsia" w:hAnsiTheme="minorEastAsia" w:cstheme="minorEastAsia"/>
                <w:bCs/>
                <w:color w:val="auto"/>
                <w:szCs w:val="21"/>
                <w:highlight w:val="none"/>
              </w:rPr>
              <w:t>且财政资金下达后，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提供</w:t>
            </w:r>
            <w:r>
              <w:rPr>
                <w:rFonts w:hint="eastAsia" w:asciiTheme="minorEastAsia" w:hAnsiTheme="minorEastAsia" w:cstheme="minorEastAsia"/>
                <w:bCs/>
                <w:color w:val="auto"/>
                <w:sz w:val="21"/>
                <w:szCs w:val="21"/>
                <w:highlight w:val="none"/>
                <w:lang w:val="en-US" w:eastAsia="zh-CN"/>
              </w:rPr>
              <w:t>采购人</w:t>
            </w:r>
            <w:r>
              <w:rPr>
                <w:rFonts w:hint="eastAsia" w:asciiTheme="minorEastAsia" w:hAnsiTheme="minorEastAsia" w:cstheme="minorEastAsia"/>
                <w:bCs/>
                <w:color w:val="auto"/>
                <w:szCs w:val="21"/>
                <w:highlight w:val="none"/>
              </w:rPr>
              <w:t>与设备原厂、中国总代或区域总代签订的保修合同或原厂、中国总代或区域总代的保修承诺函后，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应按深圳市福田区财政局的财税要求出具本合同全额价款的正规发票，原则上由</w:t>
            </w:r>
            <w:r>
              <w:rPr>
                <w:rFonts w:hint="eastAsia" w:asciiTheme="minorEastAsia" w:hAnsiTheme="minorEastAsia" w:cstheme="minorEastAsia"/>
                <w:bCs/>
                <w:color w:val="auto"/>
                <w:sz w:val="21"/>
                <w:szCs w:val="21"/>
                <w:highlight w:val="none"/>
                <w:lang w:val="en-US" w:eastAsia="zh-CN"/>
              </w:rPr>
              <w:t>采购人</w:t>
            </w:r>
            <w:r>
              <w:rPr>
                <w:rFonts w:hint="eastAsia" w:asciiTheme="minorEastAsia" w:hAnsiTheme="minorEastAsia" w:cstheme="minorEastAsia"/>
                <w:bCs/>
                <w:color w:val="auto"/>
                <w:szCs w:val="21"/>
                <w:highlight w:val="none"/>
              </w:rPr>
              <w:t>在收到合格足额发票后10个工作日内向</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支付合同价款的80%；若财政当次下达资金未达合同价款的80%，则以当次实际下达资金为准，直至付款至合同价款的80%。货款余额在项目结算并下达尾款资金后支付</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cstheme="minorEastAsia"/>
                <w:bCs/>
                <w:color w:val="auto"/>
                <w:szCs w:val="21"/>
                <w:highlight w:val="none"/>
              </w:rPr>
              <w:t>付款方式和时间最终以财政下达为准。若后期使用专项债券支付，以专项债券具体支付要求为准。</w:t>
            </w:r>
          </w:p>
          <w:p w14:paraId="6966CB3A">
            <w:pPr>
              <w:spacing w:line="276" w:lineRule="auto"/>
              <w:rPr>
                <w:rFonts w:hint="eastAsia" w:ascii="宋体" w:hAnsi="宋体" w:eastAsia="宋体" w:cs="宋体"/>
                <w:sz w:val="21"/>
                <w:szCs w:val="21"/>
              </w:rPr>
            </w:pP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因采购人使用的是财政资金，采购人的付款时间为向政府财政部门提出办理财政支付申请手续的时间（不含政府财政支付部门审核的时间），在规定时间内采购人提出支付申请手续后即视为采购人已经按期支付。若因为财政审批的原因造成采购人延期付款的，采购人不承担违约责任，中标人应当继续履行约定的义务。</w:t>
            </w:r>
            <w:r>
              <w:rPr>
                <w:rFonts w:hint="eastAsia" w:asciiTheme="minorEastAsia" w:hAnsiTheme="minorEastAsia" w:eastAsiaTheme="minorEastAsia" w:cstheme="minorEastAsia"/>
                <w:bCs/>
                <w:color w:val="auto"/>
                <w:szCs w:val="21"/>
                <w:highlight w:val="none"/>
              </w:rPr>
              <w:t>如果后续年度经人大审议通过的部门预算中，该采购项目预算金额较提前采购计划金额发生变化的，双方可根据相关规定签订补充协议或终止协议执行。</w:t>
            </w:r>
          </w:p>
        </w:tc>
      </w:tr>
      <w:tr w14:paraId="6FEC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5824F8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3</w:t>
            </w:r>
          </w:p>
        </w:tc>
        <w:tc>
          <w:tcPr>
            <w:tcW w:w="1523" w:type="dxa"/>
            <w:vAlign w:val="center"/>
          </w:tcPr>
          <w:p w14:paraId="31A1AE61">
            <w:pPr>
              <w:spacing w:line="276"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★验收条件</w:t>
            </w:r>
          </w:p>
        </w:tc>
        <w:tc>
          <w:tcPr>
            <w:tcW w:w="6539" w:type="dxa"/>
            <w:vAlign w:val="center"/>
          </w:tcPr>
          <w:p w14:paraId="61F2AAAC">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1.原装产品，货到安装，现场验收。中标人应派有经验的技术人员到现场进行安装、调试，直到设备正常使用。</w:t>
            </w:r>
          </w:p>
          <w:p w14:paraId="4551CCB3">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2.设备安装完成并正常运行且按照配置清单提供所有软硬件后，</w:t>
            </w:r>
            <w:r>
              <w:rPr>
                <w:rFonts w:hint="eastAsia" w:asciiTheme="minorEastAsia" w:hAnsiTheme="minorEastAsia" w:cstheme="minorEastAsia"/>
                <w:bCs/>
                <w:color w:val="auto"/>
                <w:sz w:val="21"/>
                <w:szCs w:val="21"/>
                <w:highlight w:val="none"/>
                <w:lang w:val="en-US" w:eastAsia="zh-CN"/>
              </w:rPr>
              <w:t>中标人</w:t>
            </w:r>
            <w:r>
              <w:rPr>
                <w:rFonts w:hint="eastAsia" w:ascii="宋体" w:hAnsi="宋体" w:eastAsia="宋体" w:cs="宋体"/>
                <w:color w:val="auto"/>
                <w:spacing w:val="-3"/>
                <w:sz w:val="21"/>
                <w:szCs w:val="21"/>
                <w:highlight w:val="none"/>
              </w:rPr>
              <w:t>应及时书面提请验收。</w:t>
            </w:r>
            <w:r>
              <w:rPr>
                <w:rFonts w:hint="eastAsia" w:ascii="宋体" w:hAnsi="宋体" w:eastAsia="宋体" w:cs="宋体"/>
                <w:color w:val="auto"/>
                <w:spacing w:val="-3"/>
                <w:szCs w:val="21"/>
                <w:highlight w:val="none"/>
              </w:rPr>
              <w:t>验收标准按照国家规定标准执行</w:t>
            </w:r>
            <w:r>
              <w:rPr>
                <w:rFonts w:hint="eastAsia" w:ascii="宋体" w:hAnsi="宋体" w:eastAsia="宋体" w:cs="宋体"/>
                <w:color w:val="auto"/>
                <w:spacing w:val="-3"/>
                <w:szCs w:val="21"/>
                <w:highlight w:val="none"/>
                <w:lang w:eastAsia="zh-CN"/>
              </w:rPr>
              <w:t>，并由</w:t>
            </w:r>
            <w:r>
              <w:rPr>
                <w:rFonts w:hint="eastAsia" w:ascii="宋体" w:hAnsi="宋体" w:eastAsia="宋体" w:cs="宋体"/>
                <w:bCs/>
                <w:sz w:val="21"/>
                <w:szCs w:val="21"/>
                <w:highlight w:val="none"/>
              </w:rPr>
              <w:t>第三方质量检测部门</w:t>
            </w:r>
            <w:r>
              <w:rPr>
                <w:rFonts w:hint="eastAsia" w:ascii="宋体" w:hAnsi="宋体" w:eastAsia="宋体" w:cs="宋体"/>
                <w:bCs/>
                <w:sz w:val="21"/>
                <w:szCs w:val="21"/>
                <w:highlight w:val="none"/>
                <w:lang w:eastAsia="zh-CN"/>
              </w:rPr>
              <w:t>出具国家认可的性能检测报告及计量检测报告（检测费用由</w:t>
            </w:r>
            <w:r>
              <w:rPr>
                <w:rFonts w:hint="eastAsia" w:asciiTheme="minorEastAsia" w:hAnsiTheme="minorEastAsia" w:cstheme="minorEastAsia"/>
                <w:bCs/>
                <w:color w:val="auto"/>
                <w:sz w:val="21"/>
                <w:szCs w:val="21"/>
                <w:highlight w:val="none"/>
                <w:lang w:val="en-US" w:eastAsia="zh-CN"/>
              </w:rPr>
              <w:t>中标人</w:t>
            </w:r>
            <w:r>
              <w:rPr>
                <w:rFonts w:hint="eastAsia" w:ascii="宋体" w:hAnsi="宋体" w:eastAsia="宋体" w:cs="宋体"/>
                <w:bCs/>
                <w:sz w:val="21"/>
                <w:szCs w:val="21"/>
                <w:highlight w:val="none"/>
                <w:lang w:eastAsia="zh-CN"/>
              </w:rPr>
              <w:t>负责支付）。</w:t>
            </w:r>
            <w:r>
              <w:rPr>
                <w:rFonts w:hint="eastAsia" w:ascii="宋体" w:hAnsi="宋体" w:eastAsia="宋体" w:cs="宋体"/>
                <w:bCs/>
                <w:sz w:val="21"/>
                <w:szCs w:val="21"/>
                <w:highlight w:val="none"/>
              </w:rPr>
              <w:t>由使用科室、设备科、中标人等代表在场进行验收。</w:t>
            </w:r>
          </w:p>
          <w:p w14:paraId="50419C39">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产品质量和安装调试检验标准遵照国家相关规定和最新标准执行。验收中如发现有质量不合格或型号规格、数量等与购销合同不符等情况，中标人应免费更换或补齐，并承担因此发生的违约责任。中标人货物经过双方检验认可后，签署验收报告。</w:t>
            </w:r>
            <w:r>
              <w:rPr>
                <w:rFonts w:hint="eastAsia" w:ascii="宋体" w:hAnsi="宋体" w:eastAsia="宋体" w:cs="宋体"/>
                <w:bCs/>
                <w:szCs w:val="21"/>
                <w:highlight w:val="none"/>
              </w:rPr>
              <w:t>产品质保期自验收合格之日起算，由中标人同时提供产品质保文件。</w:t>
            </w:r>
          </w:p>
          <w:p w14:paraId="30742A8C">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4.当满足以下条件时，采购人才向中标人签发货物验收报告：</w:t>
            </w:r>
          </w:p>
          <w:p w14:paraId="795B00FE">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（1）中标人已按照合同规定提供了全部产品及完整的技术资料。</w:t>
            </w:r>
          </w:p>
          <w:p w14:paraId="1B00320E">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（2）货物符合</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技术规格书的要求，性能满足要求。</w:t>
            </w:r>
          </w:p>
          <w:p w14:paraId="7A6F6933">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（3）货物具备产品合格证。</w:t>
            </w:r>
          </w:p>
          <w:p w14:paraId="282700CC">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（4）提供维修手册、中文操作手册。</w:t>
            </w:r>
          </w:p>
          <w:p w14:paraId="6610E8B3">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5.若采购人对中标产品质量有争议，将由中标人委托第三方质量检测部门按照</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和中标人投标文件进行验收确认,并由中标人负责该检测具体事宜。出具检测验收报告合格，采购人将履行采购合同；若检测验收报告不合格，采购人将取消采购合同，由中标人承担所有后果。</w:t>
            </w:r>
          </w:p>
          <w:p w14:paraId="4EA41321">
            <w:pPr>
              <w:numPr>
                <w:ilvl w:val="0"/>
                <w:numId w:val="0"/>
              </w:numPr>
              <w:spacing w:line="240" w:lineRule="auto"/>
              <w:rPr>
                <w:rFonts w:hint="eastAsia" w:eastAsia="宋体"/>
                <w:highlight w:val="none"/>
                <w:lang w:val="en-US" w:eastAsia="zh-CN"/>
              </w:rPr>
            </w:pPr>
            <w:r>
              <w:rPr>
                <w:rFonts w:hint="eastAsia" w:ascii="宋体" w:hAnsi="宋体" w:eastAsia="宋体" w:cs="宋体"/>
                <w:b/>
                <w:sz w:val="21"/>
                <w:szCs w:val="21"/>
                <w:highlight w:val="none"/>
              </w:rPr>
              <w:t>6.</w:t>
            </w:r>
            <w:r>
              <w:rPr>
                <w:rFonts w:hint="eastAsia"/>
                <w:highlight w:val="none"/>
              </w:rPr>
              <w:t>免费提供软件升级服务,并免费开放设备接口，无偿派人配合与医院信息系统的连接工作(包括接口费与二次开发费)，直至该设备与医院信息系统可进行完整的数据交换；在设备保修期内，当医院信息系统变更并需要与该设备连接时，需无偿派人配合直至该设备与医院信息系统可进行完整的数据交换。</w:t>
            </w:r>
          </w:p>
        </w:tc>
      </w:tr>
      <w:tr w14:paraId="0D4B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704" w:type="dxa"/>
            <w:vAlign w:val="center"/>
          </w:tcPr>
          <w:p w14:paraId="4F87A937">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4</w:t>
            </w:r>
          </w:p>
        </w:tc>
        <w:tc>
          <w:tcPr>
            <w:tcW w:w="1523" w:type="dxa"/>
            <w:vAlign w:val="center"/>
          </w:tcPr>
          <w:p w14:paraId="25C2BCCE">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★违约责任</w:t>
            </w:r>
          </w:p>
        </w:tc>
        <w:tc>
          <w:tcPr>
            <w:tcW w:w="6539" w:type="dxa"/>
            <w:vAlign w:val="center"/>
          </w:tcPr>
          <w:p w14:paraId="6E42CC8F">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如中标人未按照投标文件中承诺的时间交货或提供服务，中标人应承担延期交货和延期服务的违约责任，每迟一天罚款合同总额的0.5%；如超过供货期30天，采购人将有权终止合同并通过法律程序对中标人进行索赔。</w:t>
            </w:r>
          </w:p>
        </w:tc>
      </w:tr>
      <w:tr w14:paraId="55AB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7677591">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5</w:t>
            </w:r>
          </w:p>
        </w:tc>
        <w:tc>
          <w:tcPr>
            <w:tcW w:w="1523" w:type="dxa"/>
            <w:vAlign w:val="center"/>
          </w:tcPr>
          <w:p w14:paraId="1C151AD3">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★争议解决方法</w:t>
            </w:r>
          </w:p>
        </w:tc>
        <w:tc>
          <w:tcPr>
            <w:tcW w:w="6539" w:type="dxa"/>
            <w:vAlign w:val="center"/>
          </w:tcPr>
          <w:p w14:paraId="2396B613">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违约所造成的经济损失概由违约方承担赔偿。违约造成</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延误责任分担：采购人违约，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相应顺延；中标人违约，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不得顺延。如果发生与本合同的解释或执行中的有关争议，双方首先应通过友好协商解决，否则任何一方可将该争议提交仲裁。仲裁事项应提交深圳仲裁委员会进行裁决。</w:t>
            </w:r>
          </w:p>
        </w:tc>
      </w:tr>
      <w:tr w14:paraId="37A2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C7E56F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6</w:t>
            </w:r>
          </w:p>
        </w:tc>
        <w:tc>
          <w:tcPr>
            <w:tcW w:w="1523" w:type="dxa"/>
            <w:vAlign w:val="center"/>
          </w:tcPr>
          <w:p w14:paraId="69F6CA5D">
            <w:pPr>
              <w:spacing w:line="276" w:lineRule="auto"/>
              <w:jc w:val="center"/>
              <w:rPr>
                <w:rFonts w:hint="eastAsia" w:ascii="宋体" w:hAnsi="宋体" w:eastAsia="宋体" w:cs="宋体"/>
                <w:bCs/>
                <w:sz w:val="21"/>
                <w:szCs w:val="21"/>
              </w:rPr>
            </w:pPr>
            <w:r>
              <w:rPr>
                <w:rFonts w:hint="eastAsia" w:ascii="宋体" w:hAnsi="宋体" w:eastAsia="宋体" w:cs="宋体"/>
                <w:b w:val="0"/>
                <w:bCs/>
                <w:sz w:val="21"/>
                <w:szCs w:val="21"/>
              </w:rPr>
              <w:t>★</w:t>
            </w:r>
            <w:r>
              <w:rPr>
                <w:rStyle w:val="23"/>
                <w:rFonts w:hint="eastAsia" w:ascii="宋体" w:hAnsi="宋体" w:eastAsia="宋体" w:cs="宋体"/>
                <w:b w:val="0"/>
                <w:bCs/>
                <w:color w:val="000000"/>
                <w:sz w:val="21"/>
                <w:szCs w:val="21"/>
              </w:rPr>
              <w:t>运输、安装条件</w:t>
            </w:r>
          </w:p>
        </w:tc>
        <w:tc>
          <w:tcPr>
            <w:tcW w:w="6539" w:type="dxa"/>
            <w:vAlign w:val="center"/>
          </w:tcPr>
          <w:p w14:paraId="12C6D2BB">
            <w:pPr>
              <w:spacing w:line="276" w:lineRule="auto"/>
              <w:jc w:val="left"/>
              <w:rPr>
                <w:rFonts w:hint="eastAsia" w:ascii="宋体" w:hAnsi="宋体" w:eastAsia="宋体" w:cs="宋体"/>
                <w:b/>
                <w:sz w:val="21"/>
                <w:szCs w:val="21"/>
              </w:rPr>
            </w:pPr>
            <w:r>
              <w:rPr>
                <w:rFonts w:hint="eastAsia" w:ascii="宋体" w:hAnsi="宋体" w:eastAsia="宋体" w:cs="宋体"/>
                <w:bCs/>
                <w:sz w:val="21"/>
                <w:szCs w:val="21"/>
              </w:rPr>
              <w:t>1.中标人须在签订合同之日起2天内向采购人提供设备的运行、安装、使用环境要求。</w:t>
            </w:r>
          </w:p>
          <w:p w14:paraId="4B717F49">
            <w:pPr>
              <w:spacing w:line="276" w:lineRule="auto"/>
              <w:jc w:val="left"/>
              <w:rPr>
                <w:rFonts w:hint="eastAsia" w:ascii="宋体" w:hAnsi="宋体" w:eastAsia="宋体" w:cs="宋体"/>
                <w:sz w:val="21"/>
                <w:szCs w:val="21"/>
              </w:rPr>
            </w:pPr>
            <w:r>
              <w:rPr>
                <w:rFonts w:hint="eastAsia" w:ascii="宋体" w:hAnsi="宋体" w:eastAsia="宋体" w:cs="宋体"/>
                <w:bCs/>
                <w:sz w:val="21"/>
                <w:szCs w:val="21"/>
              </w:rPr>
              <w:t>2.中标人应确保运抵采购人处货物的完好性，包装费用由中标人承担。中标人承担由于其包装或其防护措施不妥而引起货物锈蚀、损坏和丢失等任何损失，并承担因此而发生的违约责任。</w:t>
            </w:r>
          </w:p>
        </w:tc>
      </w:tr>
      <w:tr w14:paraId="7F0B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CD47CC8">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7</w:t>
            </w:r>
          </w:p>
        </w:tc>
        <w:tc>
          <w:tcPr>
            <w:tcW w:w="1523" w:type="dxa"/>
            <w:vAlign w:val="center"/>
          </w:tcPr>
          <w:p w14:paraId="289E66B3">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★培训</w:t>
            </w:r>
          </w:p>
        </w:tc>
        <w:tc>
          <w:tcPr>
            <w:tcW w:w="6539" w:type="dxa"/>
            <w:vAlign w:val="center"/>
          </w:tcPr>
          <w:p w14:paraId="737A401D">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1.中标人应派专业技术人员免费对采购单位指定人员进行定期培训及指导，直至其完全掌握设备的基本故障处理技术。</w:t>
            </w:r>
          </w:p>
          <w:p w14:paraId="6E47D628">
            <w:pPr>
              <w:spacing w:line="276" w:lineRule="auto"/>
              <w:rPr>
                <w:rFonts w:hint="eastAsia" w:ascii="宋体" w:hAnsi="宋体" w:eastAsia="宋体" w:cs="宋体"/>
                <w:sz w:val="21"/>
                <w:szCs w:val="21"/>
              </w:rPr>
            </w:pPr>
            <w:r>
              <w:rPr>
                <w:rFonts w:hint="eastAsia" w:ascii="宋体" w:hAnsi="宋体" w:eastAsia="宋体" w:cs="宋体"/>
                <w:bCs/>
                <w:sz w:val="21"/>
                <w:szCs w:val="21"/>
              </w:rPr>
              <w:t>2.</w:t>
            </w:r>
            <w:r>
              <w:rPr>
                <w:rFonts w:hint="eastAsia" w:ascii="宋体" w:hAnsi="宋体" w:eastAsia="宋体" w:cs="宋体"/>
                <w:sz w:val="21"/>
                <w:szCs w:val="21"/>
              </w:rPr>
              <w:t>现场培训：投标供应商应提供现场技术培训，保证使用人员正常操作设备的各种功能。</w:t>
            </w:r>
          </w:p>
          <w:p w14:paraId="51DE182B">
            <w:pPr>
              <w:spacing w:line="360" w:lineRule="auto"/>
              <w:jc w:val="left"/>
              <w:rPr>
                <w:rFonts w:hint="eastAsia" w:ascii="宋体" w:hAnsi="宋体" w:eastAsia="宋体" w:cs="宋体"/>
                <w:color w:val="000000"/>
                <w:kern w:val="0"/>
                <w:sz w:val="21"/>
                <w:szCs w:val="21"/>
              </w:rPr>
            </w:pPr>
            <w:r>
              <w:rPr>
                <w:rFonts w:hint="eastAsia" w:ascii="宋体" w:hAnsi="宋体" w:eastAsia="宋体" w:cs="宋体"/>
                <w:sz w:val="21"/>
                <w:szCs w:val="21"/>
              </w:rPr>
              <w:t>3.</w:t>
            </w:r>
            <w:r>
              <w:rPr>
                <w:rFonts w:hint="eastAsia" w:ascii="宋体" w:hAnsi="宋体" w:eastAsia="宋体" w:cs="宋体"/>
                <w:color w:val="000000"/>
                <w:kern w:val="0"/>
                <w:sz w:val="21"/>
                <w:szCs w:val="21"/>
              </w:rPr>
              <w:t>集中培训：根据设备技术要求，可向投标人提供使用和维修技术人员培训。</w:t>
            </w:r>
          </w:p>
          <w:p w14:paraId="0586463F">
            <w:pPr>
              <w:spacing w:line="276" w:lineRule="auto"/>
              <w:rPr>
                <w:rFonts w:hint="eastAsia" w:ascii="宋体" w:hAnsi="宋体" w:eastAsia="宋体" w:cs="宋体"/>
                <w:bCs/>
                <w:sz w:val="21"/>
                <w:szCs w:val="21"/>
              </w:rPr>
            </w:pPr>
            <w:r>
              <w:rPr>
                <w:rFonts w:hint="eastAsia" w:ascii="宋体" w:hAnsi="宋体" w:eastAsia="宋体" w:cs="宋体"/>
                <w:color w:val="000000"/>
                <w:kern w:val="0"/>
                <w:sz w:val="21"/>
                <w:szCs w:val="21"/>
              </w:rPr>
              <w:t>4.计算机辅助培训：</w:t>
            </w:r>
            <w:r>
              <w:rPr>
                <w:rFonts w:hint="eastAsia" w:ascii="宋体" w:hAnsi="宋体" w:eastAsia="宋体" w:cs="宋体"/>
                <w:color w:val="000000"/>
                <w:kern w:val="0"/>
                <w:sz w:val="21"/>
                <w:szCs w:val="21"/>
                <w:lang w:val="en-US" w:eastAsia="zh-CN"/>
              </w:rPr>
              <w:t>具有</w:t>
            </w:r>
            <w:r>
              <w:rPr>
                <w:rFonts w:hint="eastAsia" w:ascii="宋体" w:hAnsi="宋体" w:eastAsia="宋体" w:cs="宋体"/>
                <w:color w:val="000000"/>
                <w:kern w:val="0"/>
                <w:sz w:val="21"/>
                <w:szCs w:val="21"/>
              </w:rPr>
              <w:t>针对该机型的多媒体互动操作教学软件，方便学习掌握基本操作和各项高级功能</w:t>
            </w:r>
          </w:p>
        </w:tc>
      </w:tr>
      <w:tr w14:paraId="1B36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04" w:type="dxa"/>
            <w:vAlign w:val="center"/>
          </w:tcPr>
          <w:p w14:paraId="2BBA72FF">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8</w:t>
            </w:r>
          </w:p>
        </w:tc>
        <w:tc>
          <w:tcPr>
            <w:tcW w:w="1523" w:type="dxa"/>
            <w:vAlign w:val="center"/>
          </w:tcPr>
          <w:p w14:paraId="25738D4A">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★知识产权</w:t>
            </w:r>
          </w:p>
        </w:tc>
        <w:tc>
          <w:tcPr>
            <w:tcW w:w="6539" w:type="dxa"/>
            <w:vAlign w:val="center"/>
          </w:tcPr>
          <w:p w14:paraId="31C21E5A">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1.中标人提供的货物必须是合法厂家生产和经销的原包装产品（包括零配件），必须具备生产日期、厂家、厂址、产品合格证等；</w:t>
            </w:r>
          </w:p>
          <w:p w14:paraId="27CF9C9C">
            <w:pPr>
              <w:spacing w:line="276" w:lineRule="auto"/>
              <w:rPr>
                <w:rFonts w:hint="eastAsia" w:ascii="宋体" w:hAnsi="宋体" w:eastAsia="宋体" w:cs="宋体"/>
                <w:bCs/>
                <w:sz w:val="21"/>
                <w:szCs w:val="21"/>
              </w:rPr>
            </w:pPr>
            <w:r>
              <w:rPr>
                <w:rFonts w:hint="eastAsia" w:ascii="宋体" w:hAnsi="宋体" w:eastAsia="宋体" w:cs="宋体"/>
                <w:bCs/>
                <w:sz w:val="21"/>
                <w:szCs w:val="21"/>
              </w:rPr>
              <w:t>2.标人应保证采购人在使用货物或其任何一部分时，免受第三方提出的侵犯其专利权、商标权、著作权或其它知识产权的起诉或司法干预。中标人保证所提供软件的合法性，所发生的任何知识产权纠纷与采购人无关。若因为知识产权纠纷造成的一切损害赔偿及损失由中标人承担，包括但不限于实际损失、预期损失和对方要求赔偿损失及支出的律师费、交通费和差旅费等；</w:t>
            </w:r>
          </w:p>
          <w:p w14:paraId="6CB11AD9">
            <w:pPr>
              <w:spacing w:line="276" w:lineRule="auto"/>
              <w:rPr>
                <w:rFonts w:hint="eastAsia" w:ascii="宋体" w:hAnsi="宋体" w:eastAsia="宋体" w:cs="宋体"/>
                <w:sz w:val="21"/>
                <w:szCs w:val="21"/>
              </w:rPr>
            </w:pPr>
            <w:r>
              <w:rPr>
                <w:rFonts w:hint="eastAsia" w:ascii="宋体" w:hAnsi="宋体" w:eastAsia="宋体" w:cs="宋体"/>
                <w:bCs/>
                <w:sz w:val="21"/>
                <w:szCs w:val="21"/>
              </w:rPr>
              <w:t>3.采购人购买产品后，有权对该产品与其他设备进行配套、整合或适当改进，而免受侵犯专利权的起诉。</w:t>
            </w:r>
          </w:p>
        </w:tc>
      </w:tr>
      <w:tr w14:paraId="628D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5154EC0E">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9</w:t>
            </w:r>
          </w:p>
        </w:tc>
        <w:tc>
          <w:tcPr>
            <w:tcW w:w="1523" w:type="dxa"/>
            <w:vAlign w:val="center"/>
          </w:tcPr>
          <w:p w14:paraId="303B61D8">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eastAsia="宋体" w:cs="宋体"/>
                <w:bCs/>
                <w:color w:val="000000"/>
                <w:sz w:val="21"/>
                <w:szCs w:val="21"/>
              </w:rPr>
              <w:t>其他</w:t>
            </w:r>
          </w:p>
        </w:tc>
        <w:tc>
          <w:tcPr>
            <w:tcW w:w="6539" w:type="dxa"/>
            <w:vAlign w:val="center"/>
          </w:tcPr>
          <w:p w14:paraId="6BBB5E7F">
            <w:pPr>
              <w:spacing w:line="276" w:lineRule="auto"/>
              <w:rPr>
                <w:rFonts w:hint="eastAsia" w:ascii="宋体" w:hAnsi="宋体" w:eastAsia="宋体" w:cs="宋体"/>
                <w:sz w:val="21"/>
                <w:szCs w:val="21"/>
              </w:rPr>
            </w:pPr>
            <w:r>
              <w:rPr>
                <w:rFonts w:hint="eastAsia" w:ascii="宋体" w:hAnsi="宋体" w:eastAsia="宋体" w:cs="宋体"/>
                <w:sz w:val="21"/>
                <w:szCs w:val="21"/>
              </w:rPr>
              <w:t>1.中标人应按其投标文件中的承诺，进行其他售后服务工作。</w:t>
            </w:r>
          </w:p>
          <w:p w14:paraId="2E8C845D">
            <w:pPr>
              <w:spacing w:line="276" w:lineRule="auto"/>
              <w:rPr>
                <w:rFonts w:hint="eastAsia" w:ascii="宋体" w:hAnsi="宋体" w:eastAsia="宋体" w:cs="宋体"/>
                <w:sz w:val="21"/>
                <w:szCs w:val="21"/>
              </w:rPr>
            </w:pPr>
            <w:r>
              <w:rPr>
                <w:rFonts w:hint="eastAsia" w:ascii="宋体" w:hAnsi="宋体" w:eastAsia="宋体" w:cs="宋体"/>
                <w:sz w:val="21"/>
                <w:szCs w:val="21"/>
              </w:rPr>
              <w:t>2.本项目中如有涉及水、电、气设备安装及调试、室外高空作业等项目的中标人承诺使用具有国家认可资质的操作人员（资质证书仍在有效期内）实施，否则由此造成的后果由中标人负责。</w:t>
            </w:r>
          </w:p>
          <w:p w14:paraId="101323AA">
            <w:pPr>
              <w:spacing w:line="276" w:lineRule="auto"/>
              <w:rPr>
                <w:rFonts w:hint="eastAsia" w:ascii="宋体" w:hAnsi="宋体" w:eastAsia="宋体" w:cs="宋体"/>
                <w:sz w:val="21"/>
                <w:szCs w:val="21"/>
              </w:rPr>
            </w:pPr>
            <w:r>
              <w:rPr>
                <w:rFonts w:hint="eastAsia" w:ascii="宋体" w:hAnsi="宋体" w:eastAsia="宋体" w:cs="宋体"/>
                <w:sz w:val="21"/>
                <w:szCs w:val="21"/>
              </w:rPr>
              <w:t>3.如所投产品受行业主管部门规定强制认证或检测或许可的（如3C认证或检测报告或工信部进网许可证等），中标人在签订合同前向采购单位提供相关认证证书或检测报告。</w:t>
            </w:r>
          </w:p>
          <w:p w14:paraId="47B844F9">
            <w:pPr>
              <w:spacing w:line="276" w:lineRule="auto"/>
              <w:rPr>
                <w:rFonts w:hint="eastAsia" w:ascii="宋体" w:hAnsi="宋体" w:eastAsia="宋体" w:cs="宋体"/>
                <w:sz w:val="21"/>
                <w:szCs w:val="21"/>
              </w:rPr>
            </w:pPr>
            <w:r>
              <w:rPr>
                <w:rFonts w:hint="eastAsia" w:ascii="宋体" w:hAnsi="宋体" w:eastAsia="宋体" w:cs="宋体"/>
                <w:sz w:val="21"/>
                <w:szCs w:val="21"/>
              </w:rPr>
              <w:t>4.本项目所要求的硬件、软件，中标人要配备给采购人，并保证采购人能正常使用，不需要另外增加其他附件和其他费用。</w:t>
            </w:r>
          </w:p>
          <w:p w14:paraId="68AE3581">
            <w:pPr>
              <w:spacing w:line="276" w:lineRule="auto"/>
              <w:rPr>
                <w:rFonts w:hint="eastAsia" w:ascii="宋体" w:hAnsi="宋体" w:eastAsia="宋体" w:cs="宋体"/>
                <w:sz w:val="21"/>
                <w:szCs w:val="21"/>
              </w:rPr>
            </w:pPr>
            <w:r>
              <w:rPr>
                <w:rFonts w:hint="eastAsia" w:ascii="宋体" w:hAnsi="宋体" w:eastAsia="宋体" w:cs="宋体"/>
                <w:sz w:val="21"/>
                <w:szCs w:val="21"/>
              </w:rPr>
              <w:t>5、中标人免费负责对接医院相关系统。</w:t>
            </w:r>
          </w:p>
        </w:tc>
      </w:tr>
      <w:tr w14:paraId="494F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63E7045B">
            <w:pPr>
              <w:spacing w:line="276" w:lineRule="auto"/>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10</w:t>
            </w:r>
          </w:p>
        </w:tc>
        <w:tc>
          <w:tcPr>
            <w:tcW w:w="1523" w:type="dxa"/>
            <w:vAlign w:val="center"/>
          </w:tcPr>
          <w:p w14:paraId="526379DC">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★项目（产品）要求</w:t>
            </w:r>
          </w:p>
        </w:tc>
        <w:tc>
          <w:tcPr>
            <w:tcW w:w="6539" w:type="dxa"/>
            <w:vAlign w:val="center"/>
          </w:tcPr>
          <w:p w14:paraId="2B4F4A90">
            <w:pPr>
              <w:spacing w:line="276"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需承诺，在采购结果执行期限内，纳入采购人范围的公立医院（单位）有权按照成交价格向供应商采购任意数量的增购配件，供应商不得以任何理由拒绝供应或拖延供货，否则将视为违约，供应商须承担相应违约责任。</w:t>
            </w:r>
            <w:r>
              <w:rPr>
                <w:rFonts w:hint="eastAsia" w:ascii="宋体" w:hAnsi="宋体" w:eastAsia="宋体" w:cs="宋体"/>
                <w:b/>
                <w:bCs/>
                <w:color w:val="FF0000"/>
                <w:sz w:val="21"/>
                <w:szCs w:val="21"/>
                <w:lang w:val="en-US" w:eastAsia="zh-CN"/>
              </w:rPr>
              <w:t>（需提供承诺函，格式自拟）</w:t>
            </w:r>
          </w:p>
          <w:p w14:paraId="1452D175">
            <w:pPr>
              <w:spacing w:line="276" w:lineRule="auto"/>
              <w:rPr>
                <w:rFonts w:hint="default"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2.投标人产品具备相关主管部门要求的认证资料：若所投产品为第一类医疗器械的，提供医疗行业主管部门签发的有效的《医疗器械备案凭证》（有效期内）扫描件；若所投产品为第二、三类医疗器械的，提供医疗行业主管部门签发的涵盖所投产品的《医疗器械注册证》（有效期内）扫描件。</w:t>
            </w:r>
          </w:p>
        </w:tc>
      </w:tr>
      <w:tr w14:paraId="2144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shd w:val="clear" w:color="auto" w:fill="auto"/>
            <w:vAlign w:val="center"/>
          </w:tcPr>
          <w:p w14:paraId="29684CBB">
            <w:pPr>
              <w:spacing w:line="276"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11</w:t>
            </w:r>
          </w:p>
        </w:tc>
        <w:tc>
          <w:tcPr>
            <w:tcW w:w="1523" w:type="dxa"/>
            <w:shd w:val="clear" w:color="auto" w:fill="auto"/>
            <w:vAlign w:val="center"/>
          </w:tcPr>
          <w:p w14:paraId="7A7FFB16">
            <w:pPr>
              <w:spacing w:line="276" w:lineRule="auto"/>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报价要求</w:t>
            </w:r>
          </w:p>
        </w:tc>
        <w:tc>
          <w:tcPr>
            <w:tcW w:w="6539" w:type="dxa"/>
            <w:shd w:val="clear" w:color="auto" w:fill="auto"/>
            <w:vAlign w:val="center"/>
          </w:tcPr>
          <w:p w14:paraId="61B5F336">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本项目投标报价采用包干制，</w:t>
            </w:r>
            <w:r>
              <w:rPr>
                <w:rFonts w:hint="eastAsia" w:ascii="宋体" w:hAnsi="宋体" w:eastAsia="宋体" w:cs="宋体"/>
                <w:sz w:val="21"/>
                <w:szCs w:val="21"/>
                <w:highlight w:val="none"/>
                <w:lang w:eastAsia="zh-CN"/>
              </w:rPr>
              <w:t>投标总价须是完成该项目的一切费用总和，包括设备费、运输费、装卸费、保险费、技术培训费、设备安装费、调试费、售后服务费、国家规定的各项税费等全部费用</w:t>
            </w:r>
            <w:r>
              <w:rPr>
                <w:rFonts w:hint="eastAsia" w:ascii="宋体" w:hAnsi="宋体" w:eastAsia="宋体" w:cs="宋体"/>
                <w:sz w:val="21"/>
                <w:szCs w:val="21"/>
                <w:highlight w:val="none"/>
              </w:rPr>
              <w:t>。由投标人根据</w:t>
            </w:r>
            <w:r>
              <w:rPr>
                <w:rFonts w:hint="eastAsia" w:ascii="宋体" w:hAnsi="宋体" w:eastAsia="宋体" w:cs="宋体"/>
                <w:sz w:val="21"/>
                <w:szCs w:val="21"/>
                <w:highlight w:val="none"/>
                <w:lang w:eastAsia="zh-CN"/>
              </w:rPr>
              <w:t>采购</w:t>
            </w:r>
            <w:r>
              <w:rPr>
                <w:rFonts w:hint="eastAsia" w:ascii="宋体" w:hAnsi="宋体" w:eastAsia="宋体" w:cs="宋体"/>
                <w:sz w:val="21"/>
                <w:szCs w:val="21"/>
                <w:highlight w:val="none"/>
              </w:rPr>
              <w:t>需求自行测算投标报价；一经中标，投标报价即作为中标单位与采购人签订的合同金额。</w:t>
            </w:r>
          </w:p>
          <w:p w14:paraId="3A5338A4">
            <w:pPr>
              <w:spacing w:line="276"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2.投标人应充分了解项目的位置、情况、道路及任何其他足以影响投标报价的情况，任何因忽视或误解项目情况而导致的索赔或服务期限延长申请将不获批准。</w:t>
            </w:r>
          </w:p>
          <w:p w14:paraId="2DEF12F9">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0AB14101">
            <w:pPr>
              <w:spacing w:line="276"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除政府采购合同继续履行将损害国家利益和社会公共利益外，双方当事人不得擅自变更、中止或者终止合同。</w:t>
            </w:r>
          </w:p>
        </w:tc>
      </w:tr>
    </w:tbl>
    <w:p w14:paraId="3DBE007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Narrow">
    <w:panose1 w:val="020B0606020202030204"/>
    <w:charset w:val="00"/>
    <w:family w:val="swiss"/>
    <w:pitch w:val="default"/>
    <w:sig w:usb0="00000287" w:usb1="00000800" w:usb2="00000000" w:usb3="00000000" w:csb0="2000009F" w:csb1="DFD70000"/>
  </w:font>
  <w:font w:name="Verdana">
    <w:panose1 w:val="020B0604030504040204"/>
    <w:charset w:val="00"/>
    <w:family w:val="swiss"/>
    <w:pitch w:val="default"/>
    <w:sig w:usb0="A00006FF" w:usb1="4000205B" w:usb2="00000010" w:usb3="00000000" w:csb0="2000019F" w:csb1="00000000"/>
  </w:font>
  <w:font w:name="Dotum">
    <w:altName w:val="Malgun Gothic"/>
    <w:panose1 w:val="020B0600000101010101"/>
    <w:charset w:val="81"/>
    <w:family w:val="swiss"/>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HYg2gj">
    <w:altName w:val="Malgun Gothic Semilight"/>
    <w:panose1 w:val="00000000000000000000"/>
    <w:charset w:val="80"/>
    <w:family w:val="auto"/>
    <w:pitch w:val="default"/>
    <w:sig w:usb0="00000000" w:usb1="00000000" w:usb2="00000010" w:usb3="00000000" w:csb0="00060000" w:csb1="00000000"/>
  </w:font>
  <w:font w:name="Malgun Gothic Semilight">
    <w:panose1 w:val="020B0502040204020203"/>
    <w:charset w:val="86"/>
    <w:family w:val="auto"/>
    <w:pitch w:val="default"/>
    <w:sig w:usb0="900002AF" w:usb1="01D77CFB" w:usb2="00000012" w:usb3="00000000" w:csb0="203E01BD" w:csb1="D7FF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0633688"/>
    </w:sdtPr>
    <w:sdtContent>
      <w:p w14:paraId="54CCD694">
        <w:pPr>
          <w:pStyle w:val="16"/>
          <w:jc w:val="center"/>
        </w:pPr>
        <w:r>
          <w:fldChar w:fldCharType="begin"/>
        </w:r>
        <w:r>
          <w:instrText xml:space="preserve">PAGE   \* MERGEFORMAT</w:instrText>
        </w:r>
        <w:r>
          <w:fldChar w:fldCharType="separate"/>
        </w:r>
        <w:r>
          <w:rPr>
            <w:lang w:val="zh-CN"/>
          </w:rPr>
          <w:t>1</w:t>
        </w:r>
        <w:r>
          <w:fldChar w:fldCharType="end"/>
        </w:r>
      </w:p>
    </w:sdtContent>
  </w:sdt>
  <w:p w14:paraId="673B9672">
    <w:pPr>
      <w:pStyle w:val="1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5MGM2OTQxZDAxNWJkMzk4ZDc1OTNhNzBmMzYwMGQifQ=="/>
  </w:docVars>
  <w:rsids>
    <w:rsidRoot w:val="00666D5D"/>
    <w:rsid w:val="00021EF9"/>
    <w:rsid w:val="0002794D"/>
    <w:rsid w:val="000807F5"/>
    <w:rsid w:val="00081720"/>
    <w:rsid w:val="00091CB3"/>
    <w:rsid w:val="000A14CD"/>
    <w:rsid w:val="000B7CFA"/>
    <w:rsid w:val="00140990"/>
    <w:rsid w:val="001549FC"/>
    <w:rsid w:val="0016386D"/>
    <w:rsid w:val="00183F41"/>
    <w:rsid w:val="001A5334"/>
    <w:rsid w:val="001B38E5"/>
    <w:rsid w:val="001E6CC5"/>
    <w:rsid w:val="00231888"/>
    <w:rsid w:val="002615AB"/>
    <w:rsid w:val="00266B73"/>
    <w:rsid w:val="002A1637"/>
    <w:rsid w:val="002C1AB6"/>
    <w:rsid w:val="0031522D"/>
    <w:rsid w:val="00315ACC"/>
    <w:rsid w:val="00325CCD"/>
    <w:rsid w:val="003406D0"/>
    <w:rsid w:val="00381D0A"/>
    <w:rsid w:val="003A46EE"/>
    <w:rsid w:val="003B3971"/>
    <w:rsid w:val="003C7DB6"/>
    <w:rsid w:val="003D382D"/>
    <w:rsid w:val="00402C71"/>
    <w:rsid w:val="00417B3E"/>
    <w:rsid w:val="00455320"/>
    <w:rsid w:val="00480D77"/>
    <w:rsid w:val="00487349"/>
    <w:rsid w:val="004B2BCF"/>
    <w:rsid w:val="004B7D99"/>
    <w:rsid w:val="00502560"/>
    <w:rsid w:val="00504EB3"/>
    <w:rsid w:val="00513B70"/>
    <w:rsid w:val="005179F3"/>
    <w:rsid w:val="00585A60"/>
    <w:rsid w:val="00590BC8"/>
    <w:rsid w:val="005D4D34"/>
    <w:rsid w:val="005E1E92"/>
    <w:rsid w:val="00621D1F"/>
    <w:rsid w:val="00630D28"/>
    <w:rsid w:val="00630F73"/>
    <w:rsid w:val="00663711"/>
    <w:rsid w:val="00666D5D"/>
    <w:rsid w:val="00683ABF"/>
    <w:rsid w:val="00687666"/>
    <w:rsid w:val="00695DBD"/>
    <w:rsid w:val="006A4EC1"/>
    <w:rsid w:val="006B66CD"/>
    <w:rsid w:val="006C4258"/>
    <w:rsid w:val="006E6455"/>
    <w:rsid w:val="0070302D"/>
    <w:rsid w:val="00710C92"/>
    <w:rsid w:val="007119E3"/>
    <w:rsid w:val="00731B6E"/>
    <w:rsid w:val="007436C5"/>
    <w:rsid w:val="00766224"/>
    <w:rsid w:val="007866D4"/>
    <w:rsid w:val="007B6359"/>
    <w:rsid w:val="007C1287"/>
    <w:rsid w:val="007D023A"/>
    <w:rsid w:val="007D2B87"/>
    <w:rsid w:val="007E5FD6"/>
    <w:rsid w:val="007F0A1D"/>
    <w:rsid w:val="00805B57"/>
    <w:rsid w:val="00810632"/>
    <w:rsid w:val="00816610"/>
    <w:rsid w:val="00823C52"/>
    <w:rsid w:val="00843F2E"/>
    <w:rsid w:val="00855727"/>
    <w:rsid w:val="0086052C"/>
    <w:rsid w:val="008667A0"/>
    <w:rsid w:val="008D49E4"/>
    <w:rsid w:val="00937F86"/>
    <w:rsid w:val="00950C29"/>
    <w:rsid w:val="0095373B"/>
    <w:rsid w:val="0098217A"/>
    <w:rsid w:val="0099294D"/>
    <w:rsid w:val="00993CAA"/>
    <w:rsid w:val="009D04A1"/>
    <w:rsid w:val="009E04CD"/>
    <w:rsid w:val="009E4CAE"/>
    <w:rsid w:val="009E59EA"/>
    <w:rsid w:val="009E7236"/>
    <w:rsid w:val="009E7ACC"/>
    <w:rsid w:val="00A00C20"/>
    <w:rsid w:val="00A13716"/>
    <w:rsid w:val="00A67CBE"/>
    <w:rsid w:val="00A971A0"/>
    <w:rsid w:val="00AD49DE"/>
    <w:rsid w:val="00AF47BD"/>
    <w:rsid w:val="00B2294D"/>
    <w:rsid w:val="00B50A50"/>
    <w:rsid w:val="00B721F3"/>
    <w:rsid w:val="00B878CB"/>
    <w:rsid w:val="00BE4A4C"/>
    <w:rsid w:val="00BE5F55"/>
    <w:rsid w:val="00C02B6F"/>
    <w:rsid w:val="00C21598"/>
    <w:rsid w:val="00C400A6"/>
    <w:rsid w:val="00C73FB6"/>
    <w:rsid w:val="00CC4B42"/>
    <w:rsid w:val="00CE0BFD"/>
    <w:rsid w:val="00D26580"/>
    <w:rsid w:val="00D3529C"/>
    <w:rsid w:val="00D36570"/>
    <w:rsid w:val="00D365E6"/>
    <w:rsid w:val="00D547DE"/>
    <w:rsid w:val="00D854DD"/>
    <w:rsid w:val="00DD6E24"/>
    <w:rsid w:val="00E30BBC"/>
    <w:rsid w:val="00E466E0"/>
    <w:rsid w:val="00E46A4F"/>
    <w:rsid w:val="00E834C6"/>
    <w:rsid w:val="00EA2AEA"/>
    <w:rsid w:val="00EA4116"/>
    <w:rsid w:val="00EB24FF"/>
    <w:rsid w:val="00ED0E37"/>
    <w:rsid w:val="00ED2C5A"/>
    <w:rsid w:val="00ED6340"/>
    <w:rsid w:val="00EF379C"/>
    <w:rsid w:val="00F05037"/>
    <w:rsid w:val="00F7151C"/>
    <w:rsid w:val="00F93A84"/>
    <w:rsid w:val="00FA3319"/>
    <w:rsid w:val="00FC4B4B"/>
    <w:rsid w:val="00FD6AC3"/>
    <w:rsid w:val="00FE31AB"/>
    <w:rsid w:val="00FF652E"/>
    <w:rsid w:val="010F68FF"/>
    <w:rsid w:val="01E90844"/>
    <w:rsid w:val="0261662C"/>
    <w:rsid w:val="0272225A"/>
    <w:rsid w:val="03140F5D"/>
    <w:rsid w:val="03C912CF"/>
    <w:rsid w:val="04651CD8"/>
    <w:rsid w:val="048C54B6"/>
    <w:rsid w:val="04CE5ACF"/>
    <w:rsid w:val="056A6906"/>
    <w:rsid w:val="05A21435"/>
    <w:rsid w:val="05AA2098"/>
    <w:rsid w:val="05C45C32"/>
    <w:rsid w:val="066E30C6"/>
    <w:rsid w:val="06F76D14"/>
    <w:rsid w:val="070E48A8"/>
    <w:rsid w:val="07294629"/>
    <w:rsid w:val="080E22FB"/>
    <w:rsid w:val="093E4C85"/>
    <w:rsid w:val="096609CC"/>
    <w:rsid w:val="09AD63E4"/>
    <w:rsid w:val="09AE52F0"/>
    <w:rsid w:val="09BA706D"/>
    <w:rsid w:val="0A2D14EA"/>
    <w:rsid w:val="0A374116"/>
    <w:rsid w:val="0A397E8E"/>
    <w:rsid w:val="0A530F50"/>
    <w:rsid w:val="0B626F71"/>
    <w:rsid w:val="0C3F70ED"/>
    <w:rsid w:val="0C76575C"/>
    <w:rsid w:val="0CF06F2A"/>
    <w:rsid w:val="0D9F26FE"/>
    <w:rsid w:val="0E186D3F"/>
    <w:rsid w:val="0ED713B2"/>
    <w:rsid w:val="0EF26BE2"/>
    <w:rsid w:val="0F510F01"/>
    <w:rsid w:val="0FE6766B"/>
    <w:rsid w:val="107D490A"/>
    <w:rsid w:val="10BB5ED5"/>
    <w:rsid w:val="10EA72E2"/>
    <w:rsid w:val="116C5C0C"/>
    <w:rsid w:val="117A3266"/>
    <w:rsid w:val="120F7C8E"/>
    <w:rsid w:val="12353631"/>
    <w:rsid w:val="12437AFC"/>
    <w:rsid w:val="12960769"/>
    <w:rsid w:val="12EF1A32"/>
    <w:rsid w:val="12F723D4"/>
    <w:rsid w:val="12F82AFE"/>
    <w:rsid w:val="131F6B44"/>
    <w:rsid w:val="133E0898"/>
    <w:rsid w:val="13756ECB"/>
    <w:rsid w:val="15C251DC"/>
    <w:rsid w:val="164A75BB"/>
    <w:rsid w:val="18826AEA"/>
    <w:rsid w:val="18C97001"/>
    <w:rsid w:val="18EB4A4A"/>
    <w:rsid w:val="1A3A1CEC"/>
    <w:rsid w:val="1AD75CEE"/>
    <w:rsid w:val="1B2129A5"/>
    <w:rsid w:val="1B3228AE"/>
    <w:rsid w:val="1C8C6840"/>
    <w:rsid w:val="1DA60D77"/>
    <w:rsid w:val="1DB554F3"/>
    <w:rsid w:val="1E1E54FA"/>
    <w:rsid w:val="1E492AA7"/>
    <w:rsid w:val="1F421D3D"/>
    <w:rsid w:val="1FE521F3"/>
    <w:rsid w:val="207601C9"/>
    <w:rsid w:val="20887022"/>
    <w:rsid w:val="23802519"/>
    <w:rsid w:val="23980E26"/>
    <w:rsid w:val="239B0E1A"/>
    <w:rsid w:val="240D09B0"/>
    <w:rsid w:val="24742B5F"/>
    <w:rsid w:val="24B44889"/>
    <w:rsid w:val="24F37160"/>
    <w:rsid w:val="250564CD"/>
    <w:rsid w:val="25EB374C"/>
    <w:rsid w:val="264E03C6"/>
    <w:rsid w:val="265C2AE3"/>
    <w:rsid w:val="26606A77"/>
    <w:rsid w:val="268E17FC"/>
    <w:rsid w:val="285A74F6"/>
    <w:rsid w:val="287F65CF"/>
    <w:rsid w:val="292F2731"/>
    <w:rsid w:val="294279D3"/>
    <w:rsid w:val="299B2F17"/>
    <w:rsid w:val="29C70BBB"/>
    <w:rsid w:val="29E933B2"/>
    <w:rsid w:val="2BA92E7D"/>
    <w:rsid w:val="2BF03C46"/>
    <w:rsid w:val="2C3A02A4"/>
    <w:rsid w:val="2C6B1CD2"/>
    <w:rsid w:val="2CE31DDE"/>
    <w:rsid w:val="2D4867D9"/>
    <w:rsid w:val="2DAC25A2"/>
    <w:rsid w:val="2DB82889"/>
    <w:rsid w:val="2EB84F76"/>
    <w:rsid w:val="2EC3675B"/>
    <w:rsid w:val="2F0C1E75"/>
    <w:rsid w:val="2F3D7770"/>
    <w:rsid w:val="2FCE252C"/>
    <w:rsid w:val="302A3C52"/>
    <w:rsid w:val="30784A2F"/>
    <w:rsid w:val="30C61BCC"/>
    <w:rsid w:val="31295D37"/>
    <w:rsid w:val="31A17E1B"/>
    <w:rsid w:val="32BD0DAD"/>
    <w:rsid w:val="332E3A59"/>
    <w:rsid w:val="3358616F"/>
    <w:rsid w:val="335A4B4A"/>
    <w:rsid w:val="344F1ED9"/>
    <w:rsid w:val="345179FF"/>
    <w:rsid w:val="345474EF"/>
    <w:rsid w:val="34C12A7F"/>
    <w:rsid w:val="34FB0599"/>
    <w:rsid w:val="35A84556"/>
    <w:rsid w:val="35E800E5"/>
    <w:rsid w:val="35EF5721"/>
    <w:rsid w:val="35F20D6E"/>
    <w:rsid w:val="3621722F"/>
    <w:rsid w:val="36346369"/>
    <w:rsid w:val="36A209E6"/>
    <w:rsid w:val="370D6DF5"/>
    <w:rsid w:val="37A70B41"/>
    <w:rsid w:val="37AEAC2E"/>
    <w:rsid w:val="381C20D2"/>
    <w:rsid w:val="387B2EDE"/>
    <w:rsid w:val="39363AEB"/>
    <w:rsid w:val="394E09B1"/>
    <w:rsid w:val="39580A72"/>
    <w:rsid w:val="3962445C"/>
    <w:rsid w:val="39DE7F87"/>
    <w:rsid w:val="3A3C4CAD"/>
    <w:rsid w:val="3C3E783A"/>
    <w:rsid w:val="3CA76E4F"/>
    <w:rsid w:val="3CE55188"/>
    <w:rsid w:val="3CFE624A"/>
    <w:rsid w:val="3D977D5D"/>
    <w:rsid w:val="3DAC5804"/>
    <w:rsid w:val="3F514881"/>
    <w:rsid w:val="3F7B0026"/>
    <w:rsid w:val="3FA53259"/>
    <w:rsid w:val="3FC731C2"/>
    <w:rsid w:val="3FC74B47"/>
    <w:rsid w:val="3FE82D16"/>
    <w:rsid w:val="407451A1"/>
    <w:rsid w:val="40781FFC"/>
    <w:rsid w:val="410F0A26"/>
    <w:rsid w:val="419B675D"/>
    <w:rsid w:val="41FA3B60"/>
    <w:rsid w:val="42144718"/>
    <w:rsid w:val="421B789E"/>
    <w:rsid w:val="42DC527F"/>
    <w:rsid w:val="43B458B4"/>
    <w:rsid w:val="4407632C"/>
    <w:rsid w:val="4497145E"/>
    <w:rsid w:val="44C01765"/>
    <w:rsid w:val="44C96C43"/>
    <w:rsid w:val="458D598C"/>
    <w:rsid w:val="459260C9"/>
    <w:rsid w:val="46ED1809"/>
    <w:rsid w:val="470152B5"/>
    <w:rsid w:val="476F1108"/>
    <w:rsid w:val="47727F60"/>
    <w:rsid w:val="47933A29"/>
    <w:rsid w:val="481130BC"/>
    <w:rsid w:val="48EC789E"/>
    <w:rsid w:val="48F8531C"/>
    <w:rsid w:val="49284F02"/>
    <w:rsid w:val="49E36EF3"/>
    <w:rsid w:val="4ABC313C"/>
    <w:rsid w:val="4B354149"/>
    <w:rsid w:val="4B49722A"/>
    <w:rsid w:val="4BA03DB7"/>
    <w:rsid w:val="4BA742E9"/>
    <w:rsid w:val="4BB23021"/>
    <w:rsid w:val="4C6B3E7D"/>
    <w:rsid w:val="4C87625C"/>
    <w:rsid w:val="4CCA6149"/>
    <w:rsid w:val="4E616114"/>
    <w:rsid w:val="4F030A6B"/>
    <w:rsid w:val="4F5C38C7"/>
    <w:rsid w:val="4F683DD3"/>
    <w:rsid w:val="4FB11447"/>
    <w:rsid w:val="4FC43323"/>
    <w:rsid w:val="4FCD042A"/>
    <w:rsid w:val="4FEB08B0"/>
    <w:rsid w:val="4FF359B6"/>
    <w:rsid w:val="502617E8"/>
    <w:rsid w:val="504B75A0"/>
    <w:rsid w:val="514566E6"/>
    <w:rsid w:val="515446D3"/>
    <w:rsid w:val="517E2489"/>
    <w:rsid w:val="51A0391C"/>
    <w:rsid w:val="52CB6777"/>
    <w:rsid w:val="52E8557B"/>
    <w:rsid w:val="53A42DA0"/>
    <w:rsid w:val="53B22B39"/>
    <w:rsid w:val="545F186C"/>
    <w:rsid w:val="549F5ECF"/>
    <w:rsid w:val="54CA318A"/>
    <w:rsid w:val="550F5041"/>
    <w:rsid w:val="55394F37"/>
    <w:rsid w:val="55937A20"/>
    <w:rsid w:val="57712AA2"/>
    <w:rsid w:val="582F73F0"/>
    <w:rsid w:val="58613CD7"/>
    <w:rsid w:val="5867178C"/>
    <w:rsid w:val="586A7D22"/>
    <w:rsid w:val="58BF6C89"/>
    <w:rsid w:val="597638E0"/>
    <w:rsid w:val="5A0B2829"/>
    <w:rsid w:val="5A6279C1"/>
    <w:rsid w:val="5A7C2066"/>
    <w:rsid w:val="5B2E24FC"/>
    <w:rsid w:val="5B2E6B6D"/>
    <w:rsid w:val="5B67354E"/>
    <w:rsid w:val="5C186ED1"/>
    <w:rsid w:val="5D5F6439"/>
    <w:rsid w:val="5D894700"/>
    <w:rsid w:val="5D9C23EA"/>
    <w:rsid w:val="5DE2652E"/>
    <w:rsid w:val="5DF576A1"/>
    <w:rsid w:val="5E6A778C"/>
    <w:rsid w:val="5E822A4A"/>
    <w:rsid w:val="5ECB022A"/>
    <w:rsid w:val="5F7C63AA"/>
    <w:rsid w:val="5F9C5723"/>
    <w:rsid w:val="5FBA7F16"/>
    <w:rsid w:val="60AF4F4E"/>
    <w:rsid w:val="616B1851"/>
    <w:rsid w:val="61A9369B"/>
    <w:rsid w:val="628A21AA"/>
    <w:rsid w:val="62AE5E99"/>
    <w:rsid w:val="62CA2245"/>
    <w:rsid w:val="635D166D"/>
    <w:rsid w:val="636345FC"/>
    <w:rsid w:val="63B374DF"/>
    <w:rsid w:val="63D958CC"/>
    <w:rsid w:val="63E336F7"/>
    <w:rsid w:val="64041AE8"/>
    <w:rsid w:val="640658E2"/>
    <w:rsid w:val="641461CF"/>
    <w:rsid w:val="650C5EA0"/>
    <w:rsid w:val="65864EAB"/>
    <w:rsid w:val="65FB24AA"/>
    <w:rsid w:val="65FD004D"/>
    <w:rsid w:val="671B7875"/>
    <w:rsid w:val="674943E2"/>
    <w:rsid w:val="67564D51"/>
    <w:rsid w:val="67762CFD"/>
    <w:rsid w:val="67B010BC"/>
    <w:rsid w:val="685A617B"/>
    <w:rsid w:val="6A4D41E9"/>
    <w:rsid w:val="6A64729F"/>
    <w:rsid w:val="6AB917A8"/>
    <w:rsid w:val="6B090119"/>
    <w:rsid w:val="6B3C7DBA"/>
    <w:rsid w:val="6B593282"/>
    <w:rsid w:val="6BFE5D28"/>
    <w:rsid w:val="6CBB2471"/>
    <w:rsid w:val="6D5C086D"/>
    <w:rsid w:val="6D6F091A"/>
    <w:rsid w:val="6DA57E98"/>
    <w:rsid w:val="6DAC0B3C"/>
    <w:rsid w:val="6F3A5392"/>
    <w:rsid w:val="6F7C0830"/>
    <w:rsid w:val="701327CB"/>
    <w:rsid w:val="701F7C05"/>
    <w:rsid w:val="70384FF4"/>
    <w:rsid w:val="704A4D27"/>
    <w:rsid w:val="70B3467E"/>
    <w:rsid w:val="71233EF6"/>
    <w:rsid w:val="713559D7"/>
    <w:rsid w:val="71542AF6"/>
    <w:rsid w:val="7213760F"/>
    <w:rsid w:val="73507497"/>
    <w:rsid w:val="73DA0BF0"/>
    <w:rsid w:val="73E325DB"/>
    <w:rsid w:val="74CA57DA"/>
    <w:rsid w:val="75151DA7"/>
    <w:rsid w:val="752D5343"/>
    <w:rsid w:val="75A241B0"/>
    <w:rsid w:val="75D03F20"/>
    <w:rsid w:val="771542E1"/>
    <w:rsid w:val="777F5BFE"/>
    <w:rsid w:val="778B00FF"/>
    <w:rsid w:val="77C27899"/>
    <w:rsid w:val="77E31CE9"/>
    <w:rsid w:val="784B6A5E"/>
    <w:rsid w:val="789210CC"/>
    <w:rsid w:val="78EA70A7"/>
    <w:rsid w:val="78F6565F"/>
    <w:rsid w:val="798017B9"/>
    <w:rsid w:val="798D0356"/>
    <w:rsid w:val="79C239CA"/>
    <w:rsid w:val="79C30024"/>
    <w:rsid w:val="7A49604F"/>
    <w:rsid w:val="7A627AB4"/>
    <w:rsid w:val="7A91426C"/>
    <w:rsid w:val="7AAD21FD"/>
    <w:rsid w:val="7AF55978"/>
    <w:rsid w:val="7B3B31AD"/>
    <w:rsid w:val="7B564EC8"/>
    <w:rsid w:val="7B7F1BF5"/>
    <w:rsid w:val="7B9949EE"/>
    <w:rsid w:val="7BD94E15"/>
    <w:rsid w:val="7BF47C5E"/>
    <w:rsid w:val="7CD202C4"/>
    <w:rsid w:val="7D537911"/>
    <w:rsid w:val="7D985324"/>
    <w:rsid w:val="7DA86680"/>
    <w:rsid w:val="7E861620"/>
    <w:rsid w:val="7ED72D19"/>
    <w:rsid w:val="7EDD9340"/>
    <w:rsid w:val="7EEE70C1"/>
    <w:rsid w:val="7F3FDA43"/>
    <w:rsid w:val="7FFF6EAB"/>
    <w:rsid w:val="CBEFB599"/>
    <w:rsid w:val="D3F36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0" w:semiHidden="0" w:name="heading 4"/>
    <w:lsdException w:qFormat="1" w:unhideWhenUsed="0" w:uiPriority="9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7"/>
    <w:qFormat/>
    <w:uiPriority w:val="0"/>
    <w:pPr>
      <w:widowControl/>
      <w:spacing w:before="100" w:beforeAutospacing="1" w:after="100" w:afterAutospacing="1"/>
      <w:jc w:val="left"/>
      <w:outlineLvl w:val="1"/>
    </w:pPr>
    <w:rPr>
      <w:rFonts w:ascii="宋体" w:hAnsi="宋体" w:eastAsia="宋体" w:cs="宋体"/>
      <w:b/>
      <w:bCs/>
      <w:kern w:val="0"/>
      <w:sz w:val="36"/>
      <w:szCs w:val="36"/>
    </w:rPr>
  </w:style>
  <w:style w:type="paragraph" w:styleId="3">
    <w:name w:val="heading 3"/>
    <w:basedOn w:val="1"/>
    <w:next w:val="1"/>
    <w:link w:val="5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4">
    <w:name w:val="heading 4"/>
    <w:basedOn w:val="1"/>
    <w:next w:val="1"/>
    <w:link w:val="40"/>
    <w:unhideWhenUsed/>
    <w:qFormat/>
    <w:uiPriority w:val="0"/>
    <w:pPr>
      <w:keepNext/>
      <w:keepLines/>
      <w:spacing w:before="280" w:after="290" w:line="376" w:lineRule="auto"/>
      <w:outlineLvl w:val="3"/>
    </w:pPr>
    <w:rPr>
      <w:rFonts w:ascii="Cambria" w:hAnsi="Cambria" w:eastAsia="宋体" w:cs="Times New Roman"/>
      <w:b/>
      <w:bCs/>
      <w:sz w:val="28"/>
      <w:szCs w:val="28"/>
    </w:rPr>
  </w:style>
  <w:style w:type="paragraph" w:styleId="5">
    <w:name w:val="heading 5"/>
    <w:basedOn w:val="1"/>
    <w:next w:val="1"/>
    <w:link w:val="41"/>
    <w:qFormat/>
    <w:uiPriority w:val="99"/>
    <w:pPr>
      <w:widowControl/>
      <w:spacing w:before="100" w:beforeAutospacing="1" w:after="100" w:afterAutospacing="1"/>
      <w:jc w:val="left"/>
      <w:outlineLvl w:val="4"/>
    </w:pPr>
    <w:rPr>
      <w:rFonts w:ascii="宋体" w:hAnsi="宋体" w:eastAsia="宋体" w:cs="Times New Roman"/>
      <w:b/>
      <w:bCs/>
      <w:kern w:val="0"/>
      <w:sz w:val="20"/>
      <w:szCs w:val="20"/>
      <w:lang w:val="zh-CN"/>
    </w:rPr>
  </w:style>
  <w:style w:type="paragraph" w:styleId="6">
    <w:name w:val="heading 6"/>
    <w:basedOn w:val="1"/>
    <w:next w:val="1"/>
    <w:link w:val="58"/>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3"/>
    <w:qFormat/>
    <w:uiPriority w:val="0"/>
    <w:pPr>
      <w:ind w:firstLine="420" w:firstLineChars="200"/>
    </w:pPr>
    <w:rPr>
      <w:rFonts w:ascii="Calibri" w:hAnsi="Calibri" w:eastAsia="宋体" w:cs="Times New Roman"/>
    </w:rPr>
  </w:style>
  <w:style w:type="paragraph" w:styleId="8">
    <w:name w:val="Document Map"/>
    <w:basedOn w:val="1"/>
    <w:link w:val="51"/>
    <w:semiHidden/>
    <w:qFormat/>
    <w:uiPriority w:val="99"/>
    <w:pPr>
      <w:shd w:val="clear" w:color="auto" w:fill="000080"/>
    </w:pPr>
    <w:rPr>
      <w:rFonts w:ascii="Times New Roman" w:hAnsi="Times New Roman" w:eastAsia="宋体" w:cs="Times New Roman"/>
      <w:kern w:val="0"/>
      <w:sz w:val="2"/>
      <w:szCs w:val="20"/>
      <w:lang w:val="zh-CN"/>
    </w:rPr>
  </w:style>
  <w:style w:type="paragraph" w:styleId="9">
    <w:name w:val="annotation text"/>
    <w:basedOn w:val="1"/>
    <w:next w:val="10"/>
    <w:link w:val="35"/>
    <w:unhideWhenUsed/>
    <w:qFormat/>
    <w:uiPriority w:val="99"/>
    <w:pPr>
      <w:jc w:val="left"/>
    </w:pPr>
  </w:style>
  <w:style w:type="paragraph" w:styleId="10">
    <w:name w:val="toc 5"/>
    <w:basedOn w:val="1"/>
    <w:next w:val="1"/>
    <w:qFormat/>
    <w:uiPriority w:val="0"/>
    <w:pPr>
      <w:ind w:left="840"/>
      <w:jc w:val="left"/>
    </w:pPr>
    <w:rPr>
      <w:rFonts w:ascii="Calibri" w:hAnsi="Calibri" w:cs="Calibri"/>
      <w:sz w:val="18"/>
      <w:szCs w:val="18"/>
    </w:rPr>
  </w:style>
  <w:style w:type="paragraph" w:styleId="11">
    <w:name w:val="Body Text"/>
    <w:basedOn w:val="1"/>
    <w:next w:val="12"/>
    <w:qFormat/>
    <w:uiPriority w:val="0"/>
    <w:pPr>
      <w:widowControl/>
      <w:spacing w:after="120"/>
      <w:jc w:val="left"/>
    </w:pPr>
    <w:rPr>
      <w:rFonts w:ascii="Times New Roman" w:hAnsi="Times New Roman"/>
      <w:kern w:val="0"/>
      <w:sz w:val="20"/>
      <w:szCs w:val="20"/>
    </w:rPr>
  </w:style>
  <w:style w:type="paragraph" w:styleId="12">
    <w:name w:val="Body Text 2"/>
    <w:basedOn w:val="1"/>
    <w:next w:val="11"/>
    <w:qFormat/>
    <w:uiPriority w:val="0"/>
    <w:pPr>
      <w:adjustRightInd w:val="0"/>
      <w:spacing w:line="360" w:lineRule="atLeast"/>
      <w:ind w:firstLine="720"/>
      <w:textAlignment w:val="baseline"/>
    </w:pPr>
    <w:rPr>
      <w:rFonts w:ascii="Times New Roman" w:hAnsi="Times New Roman"/>
      <w:kern w:val="0"/>
      <w:sz w:val="24"/>
      <w:szCs w:val="24"/>
    </w:rPr>
  </w:style>
  <w:style w:type="paragraph" w:styleId="13">
    <w:name w:val="Body Text Indent"/>
    <w:basedOn w:val="1"/>
    <w:link w:val="45"/>
    <w:qFormat/>
    <w:uiPriority w:val="99"/>
    <w:pPr>
      <w:spacing w:line="360" w:lineRule="auto"/>
      <w:ind w:firstLine="525"/>
    </w:pPr>
    <w:rPr>
      <w:rFonts w:ascii="Arial Narrow" w:hAnsi="Arial Narrow" w:eastAsia="宋体" w:cs="Times New Roman"/>
      <w:kern w:val="0"/>
      <w:szCs w:val="21"/>
      <w:lang w:val="zh-CN"/>
    </w:rPr>
  </w:style>
  <w:style w:type="paragraph" w:styleId="14">
    <w:name w:val="Plain Text"/>
    <w:basedOn w:val="1"/>
    <w:link w:val="37"/>
    <w:qFormat/>
    <w:uiPriority w:val="0"/>
    <w:rPr>
      <w:rFonts w:ascii="Arial Narrow" w:hAnsi="Times New Roman" w:eastAsia="Arial Narrow"/>
    </w:rPr>
  </w:style>
  <w:style w:type="paragraph" w:styleId="15">
    <w:name w:val="Balloon Text"/>
    <w:basedOn w:val="1"/>
    <w:next w:val="1"/>
    <w:link w:val="34"/>
    <w:semiHidden/>
    <w:unhideWhenUsed/>
    <w:qFormat/>
    <w:uiPriority w:val="99"/>
    <w:rPr>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9">
    <w:name w:val="annotation subject"/>
    <w:basedOn w:val="9"/>
    <w:next w:val="9"/>
    <w:link w:val="36"/>
    <w:semiHidden/>
    <w:unhideWhenUsed/>
    <w:qFormat/>
    <w:uiPriority w:val="99"/>
    <w:rPr>
      <w:b/>
      <w:bCs/>
    </w:rPr>
  </w:style>
  <w:style w:type="table" w:styleId="21">
    <w:name w:val="Table Grid"/>
    <w:basedOn w:val="20"/>
    <w:qFormat/>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FollowedHyperlink"/>
    <w:semiHidden/>
    <w:unhideWhenUsed/>
    <w:qFormat/>
    <w:uiPriority w:val="99"/>
    <w:rPr>
      <w:color w:val="954F72"/>
      <w:u w:val="single"/>
    </w:rPr>
  </w:style>
  <w:style w:type="character" w:styleId="25">
    <w:name w:val="Hyperlink"/>
    <w:basedOn w:val="22"/>
    <w:unhideWhenUsed/>
    <w:qFormat/>
    <w:uiPriority w:val="99"/>
    <w:rPr>
      <w:color w:val="0000FF" w:themeColor="hyperlink"/>
      <w:u w:val="single"/>
      <w14:textFill>
        <w14:solidFill>
          <w14:schemeClr w14:val="hlink"/>
        </w14:solidFill>
      </w14:textFill>
    </w:rPr>
  </w:style>
  <w:style w:type="character" w:styleId="26">
    <w:name w:val="annotation reference"/>
    <w:basedOn w:val="22"/>
    <w:unhideWhenUsed/>
    <w:qFormat/>
    <w:uiPriority w:val="99"/>
    <w:rPr>
      <w:sz w:val="21"/>
      <w:szCs w:val="21"/>
    </w:rPr>
  </w:style>
  <w:style w:type="character" w:customStyle="1" w:styleId="27">
    <w:name w:val="标题 2 字符"/>
    <w:basedOn w:val="22"/>
    <w:link w:val="2"/>
    <w:qFormat/>
    <w:uiPriority w:val="0"/>
    <w:rPr>
      <w:rFonts w:ascii="宋体" w:hAnsi="宋体" w:eastAsia="宋体" w:cs="宋体"/>
      <w:b/>
      <w:bCs/>
      <w:kern w:val="0"/>
      <w:sz w:val="36"/>
      <w:szCs w:val="36"/>
    </w:rPr>
  </w:style>
  <w:style w:type="paragraph" w:customStyle="1" w:styleId="28">
    <w:name w:val="tc"/>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9">
    <w:name w:val="displayarti"/>
    <w:basedOn w:val="22"/>
    <w:qFormat/>
    <w:uiPriority w:val="0"/>
  </w:style>
  <w:style w:type="paragraph" w:customStyle="1" w:styleId="30">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1">
    <w:name w:val="15"/>
    <w:basedOn w:val="22"/>
    <w:qFormat/>
    <w:uiPriority w:val="0"/>
  </w:style>
  <w:style w:type="character" w:customStyle="1" w:styleId="32">
    <w:name w:val="页眉 字符"/>
    <w:basedOn w:val="22"/>
    <w:link w:val="17"/>
    <w:qFormat/>
    <w:uiPriority w:val="99"/>
    <w:rPr>
      <w:sz w:val="18"/>
      <w:szCs w:val="18"/>
    </w:rPr>
  </w:style>
  <w:style w:type="character" w:customStyle="1" w:styleId="33">
    <w:name w:val="页脚 字符"/>
    <w:basedOn w:val="22"/>
    <w:link w:val="16"/>
    <w:qFormat/>
    <w:uiPriority w:val="99"/>
    <w:rPr>
      <w:sz w:val="18"/>
      <w:szCs w:val="18"/>
    </w:rPr>
  </w:style>
  <w:style w:type="character" w:customStyle="1" w:styleId="34">
    <w:name w:val="批注框文本 字符"/>
    <w:basedOn w:val="22"/>
    <w:link w:val="15"/>
    <w:semiHidden/>
    <w:qFormat/>
    <w:uiPriority w:val="99"/>
    <w:rPr>
      <w:sz w:val="18"/>
      <w:szCs w:val="18"/>
    </w:rPr>
  </w:style>
  <w:style w:type="character" w:customStyle="1" w:styleId="35">
    <w:name w:val="批注文字 字符"/>
    <w:basedOn w:val="22"/>
    <w:link w:val="9"/>
    <w:qFormat/>
    <w:uiPriority w:val="99"/>
  </w:style>
  <w:style w:type="character" w:customStyle="1" w:styleId="36">
    <w:name w:val="批注主题 字符"/>
    <w:basedOn w:val="35"/>
    <w:link w:val="19"/>
    <w:semiHidden/>
    <w:qFormat/>
    <w:uiPriority w:val="99"/>
    <w:rPr>
      <w:b/>
      <w:bCs/>
    </w:rPr>
  </w:style>
  <w:style w:type="character" w:customStyle="1" w:styleId="37">
    <w:name w:val="纯文本 字符"/>
    <w:basedOn w:val="22"/>
    <w:link w:val="14"/>
    <w:qFormat/>
    <w:uiPriority w:val="0"/>
    <w:rPr>
      <w:rFonts w:ascii="Arial Narrow" w:hAnsi="Times New Roman" w:eastAsia="Arial Narrow"/>
    </w:rPr>
  </w:style>
  <w:style w:type="character" w:customStyle="1" w:styleId="38">
    <w:name w:val="样式3 Char"/>
    <w:link w:val="39"/>
    <w:qFormat/>
    <w:uiPriority w:val="0"/>
    <w:rPr>
      <w:rFonts w:ascii="Arial Narrow" w:eastAsia="Arial Narrow"/>
      <w:sz w:val="28"/>
    </w:rPr>
  </w:style>
  <w:style w:type="paragraph" w:customStyle="1" w:styleId="39">
    <w:name w:val="样式3"/>
    <w:basedOn w:val="14"/>
    <w:link w:val="38"/>
    <w:qFormat/>
    <w:uiPriority w:val="0"/>
    <w:pPr>
      <w:spacing w:line="0" w:lineRule="atLeast"/>
      <w:outlineLvl w:val="0"/>
    </w:pPr>
    <w:rPr>
      <w:rFonts w:hAnsiTheme="minorHAnsi"/>
      <w:sz w:val="28"/>
    </w:rPr>
  </w:style>
  <w:style w:type="character" w:customStyle="1" w:styleId="40">
    <w:name w:val="标题 4 字符"/>
    <w:basedOn w:val="22"/>
    <w:link w:val="4"/>
    <w:qFormat/>
    <w:uiPriority w:val="0"/>
    <w:rPr>
      <w:rFonts w:ascii="Cambria" w:hAnsi="Cambria" w:eastAsia="宋体" w:cs="Times New Roman"/>
      <w:b/>
      <w:bCs/>
      <w:sz w:val="28"/>
      <w:szCs w:val="28"/>
    </w:rPr>
  </w:style>
  <w:style w:type="character" w:customStyle="1" w:styleId="41">
    <w:name w:val="标题 5 字符"/>
    <w:basedOn w:val="22"/>
    <w:link w:val="5"/>
    <w:qFormat/>
    <w:uiPriority w:val="99"/>
    <w:rPr>
      <w:rFonts w:ascii="宋体" w:hAnsi="宋体" w:eastAsia="宋体" w:cs="Times New Roman"/>
      <w:b/>
      <w:bCs/>
      <w:kern w:val="0"/>
      <w:sz w:val="20"/>
      <w:szCs w:val="20"/>
      <w:lang w:val="zh-CN" w:eastAsia="zh-CN"/>
    </w:rPr>
  </w:style>
  <w:style w:type="character" w:customStyle="1" w:styleId="42">
    <w:name w:val="Comment Text Char"/>
    <w:semiHidden/>
    <w:qFormat/>
    <w:locked/>
    <w:uiPriority w:val="99"/>
    <w:rPr>
      <w:sz w:val="24"/>
    </w:rPr>
  </w:style>
  <w:style w:type="character" w:customStyle="1" w:styleId="43">
    <w:name w:val="批注文字 Char1"/>
    <w:semiHidden/>
    <w:qFormat/>
    <w:uiPriority w:val="99"/>
    <w:rPr>
      <w:rFonts w:cs="Times New Roman"/>
    </w:rPr>
  </w:style>
  <w:style w:type="character" w:customStyle="1" w:styleId="44">
    <w:name w:val="lbl"/>
    <w:qFormat/>
    <w:uiPriority w:val="99"/>
    <w:rPr>
      <w:rFonts w:cs="Times New Roman"/>
    </w:rPr>
  </w:style>
  <w:style w:type="character" w:customStyle="1" w:styleId="45">
    <w:name w:val="正文文本缩进 字符"/>
    <w:basedOn w:val="22"/>
    <w:link w:val="13"/>
    <w:qFormat/>
    <w:uiPriority w:val="99"/>
    <w:rPr>
      <w:rFonts w:ascii="Arial Narrow" w:hAnsi="Arial Narrow" w:eastAsia="宋体" w:cs="Times New Roman"/>
      <w:kern w:val="0"/>
      <w:szCs w:val="21"/>
      <w:lang w:val="zh-CN" w:eastAsia="zh-CN"/>
    </w:rPr>
  </w:style>
  <w:style w:type="paragraph" w:customStyle="1" w:styleId="46">
    <w:name w:val="z-窗体顶端1"/>
    <w:basedOn w:val="1"/>
    <w:next w:val="1"/>
    <w:link w:val="47"/>
    <w:semiHidden/>
    <w:qFormat/>
    <w:uiPriority w:val="99"/>
    <w:pPr>
      <w:widowControl/>
      <w:pBdr>
        <w:bottom w:val="single" w:color="auto" w:sz="6" w:space="1"/>
      </w:pBdr>
      <w:jc w:val="center"/>
    </w:pPr>
    <w:rPr>
      <w:rFonts w:ascii="Arial" w:hAnsi="Arial" w:eastAsia="宋体" w:cs="Times New Roman"/>
      <w:vanish/>
      <w:kern w:val="0"/>
      <w:sz w:val="16"/>
      <w:szCs w:val="16"/>
      <w:lang w:val="zh-CN"/>
    </w:rPr>
  </w:style>
  <w:style w:type="character" w:customStyle="1" w:styleId="47">
    <w:name w:val="z-窗体顶端 Char"/>
    <w:basedOn w:val="22"/>
    <w:link w:val="46"/>
    <w:semiHidden/>
    <w:qFormat/>
    <w:uiPriority w:val="99"/>
    <w:rPr>
      <w:rFonts w:ascii="Arial" w:hAnsi="Arial" w:eastAsia="宋体" w:cs="Times New Roman"/>
      <w:vanish/>
      <w:kern w:val="0"/>
      <w:sz w:val="16"/>
      <w:szCs w:val="16"/>
      <w:lang w:val="zh-CN" w:eastAsia="zh-CN"/>
    </w:rPr>
  </w:style>
  <w:style w:type="paragraph" w:customStyle="1" w:styleId="48">
    <w:name w:val="z-窗体底端1"/>
    <w:basedOn w:val="1"/>
    <w:next w:val="1"/>
    <w:link w:val="49"/>
    <w:semiHidden/>
    <w:qFormat/>
    <w:uiPriority w:val="99"/>
    <w:pPr>
      <w:widowControl/>
      <w:pBdr>
        <w:top w:val="single" w:color="auto" w:sz="6" w:space="1"/>
      </w:pBdr>
      <w:jc w:val="center"/>
    </w:pPr>
    <w:rPr>
      <w:rFonts w:ascii="Arial" w:hAnsi="Arial" w:eastAsia="宋体" w:cs="Times New Roman"/>
      <w:vanish/>
      <w:kern w:val="0"/>
      <w:sz w:val="16"/>
      <w:szCs w:val="16"/>
      <w:lang w:val="zh-CN"/>
    </w:rPr>
  </w:style>
  <w:style w:type="character" w:customStyle="1" w:styleId="49">
    <w:name w:val="z-窗体底端 Char"/>
    <w:basedOn w:val="22"/>
    <w:link w:val="48"/>
    <w:semiHidden/>
    <w:qFormat/>
    <w:uiPriority w:val="99"/>
    <w:rPr>
      <w:rFonts w:ascii="Arial" w:hAnsi="Arial" w:eastAsia="宋体" w:cs="Times New Roman"/>
      <w:vanish/>
      <w:kern w:val="0"/>
      <w:sz w:val="16"/>
      <w:szCs w:val="16"/>
      <w:lang w:val="zh-CN" w:eastAsia="zh-CN"/>
    </w:rPr>
  </w:style>
  <w:style w:type="character" w:customStyle="1" w:styleId="50">
    <w:name w:val="text-warning"/>
    <w:qFormat/>
    <w:uiPriority w:val="99"/>
    <w:rPr>
      <w:rFonts w:cs="Times New Roman"/>
    </w:rPr>
  </w:style>
  <w:style w:type="character" w:customStyle="1" w:styleId="51">
    <w:name w:val="文档结构图 字符"/>
    <w:basedOn w:val="22"/>
    <w:link w:val="8"/>
    <w:semiHidden/>
    <w:qFormat/>
    <w:uiPriority w:val="99"/>
    <w:rPr>
      <w:rFonts w:ascii="Times New Roman" w:hAnsi="Times New Roman" w:eastAsia="宋体" w:cs="Times New Roman"/>
      <w:kern w:val="0"/>
      <w:sz w:val="2"/>
      <w:szCs w:val="20"/>
      <w:shd w:val="clear" w:color="auto" w:fill="000080"/>
      <w:lang w:val="zh-CN" w:eastAsia="zh-CN"/>
    </w:rPr>
  </w:style>
  <w:style w:type="character" w:customStyle="1" w:styleId="52">
    <w:name w:val="Char Char13"/>
    <w:qFormat/>
    <w:locked/>
    <w:uiPriority w:val="99"/>
    <w:rPr>
      <w:rFonts w:ascii="Verdana" w:hAnsi="Verdana" w:eastAsia="宋体"/>
      <w:kern w:val="2"/>
      <w:sz w:val="24"/>
      <w:lang w:val="en-US" w:eastAsia="zh-CN"/>
    </w:rPr>
  </w:style>
  <w:style w:type="character" w:customStyle="1" w:styleId="53">
    <w:name w:val="正文缩进 字符"/>
    <w:link w:val="7"/>
    <w:qFormat/>
    <w:locked/>
    <w:uiPriority w:val="99"/>
    <w:rPr>
      <w:rFonts w:ascii="Calibri" w:hAnsi="Calibri" w:eastAsia="宋体" w:cs="Times New Roman"/>
    </w:rPr>
  </w:style>
  <w:style w:type="paragraph" w:customStyle="1" w:styleId="54">
    <w:name w:val="Char Char10"/>
    <w:basedOn w:val="8"/>
    <w:qFormat/>
    <w:uiPriority w:val="0"/>
    <w:rPr>
      <w:szCs w:val="24"/>
    </w:rPr>
  </w:style>
  <w:style w:type="paragraph" w:customStyle="1" w:styleId="55">
    <w:name w:val="Char41"/>
    <w:basedOn w:val="1"/>
    <w:qFormat/>
    <w:uiPriority w:val="0"/>
    <w:rPr>
      <w:rFonts w:ascii="Dotum" w:hAnsi="Dotum" w:eastAsia="宋体" w:cs="HYg2gj"/>
      <w:sz w:val="24"/>
      <w:szCs w:val="20"/>
    </w:rPr>
  </w:style>
  <w:style w:type="paragraph" w:customStyle="1" w:styleId="56">
    <w:name w:val="修订1"/>
    <w:hidden/>
    <w:semiHidden/>
    <w:qFormat/>
    <w:uiPriority w:val="99"/>
    <w:rPr>
      <w:rFonts w:ascii="Calibri" w:hAnsi="Calibri" w:eastAsia="宋体" w:cs="Times New Roman"/>
      <w:kern w:val="2"/>
      <w:sz w:val="21"/>
      <w:szCs w:val="22"/>
      <w:lang w:val="en-US" w:eastAsia="zh-CN" w:bidi="ar-SA"/>
    </w:rPr>
  </w:style>
  <w:style w:type="character" w:customStyle="1" w:styleId="57">
    <w:name w:val="标题 3 字符"/>
    <w:basedOn w:val="22"/>
    <w:link w:val="3"/>
    <w:qFormat/>
    <w:uiPriority w:val="9"/>
    <w:rPr>
      <w:rFonts w:ascii="宋体" w:hAnsi="宋体" w:eastAsia="宋体" w:cs="宋体"/>
      <w:b/>
      <w:bCs/>
      <w:kern w:val="0"/>
      <w:sz w:val="27"/>
      <w:szCs w:val="27"/>
    </w:rPr>
  </w:style>
  <w:style w:type="character" w:customStyle="1" w:styleId="58">
    <w:name w:val="标题 6 字符"/>
    <w:basedOn w:val="22"/>
    <w:link w:val="6"/>
    <w:qFormat/>
    <w:uiPriority w:val="9"/>
    <w:rPr>
      <w:rFonts w:ascii="宋体" w:hAnsi="宋体" w:eastAsia="宋体" w:cs="宋体"/>
      <w:b/>
      <w:bCs/>
      <w:kern w:val="0"/>
      <w:sz w:val="15"/>
      <w:szCs w:val="15"/>
    </w:rPr>
  </w:style>
  <w:style w:type="character" w:customStyle="1" w:styleId="59">
    <w:name w:val="customize__projectname"/>
    <w:basedOn w:val="22"/>
    <w:qFormat/>
    <w:uiPriority w:val="0"/>
  </w:style>
  <w:style w:type="character" w:customStyle="1" w:styleId="60">
    <w:name w:val="customize_recordno"/>
    <w:basedOn w:val="22"/>
    <w:qFormat/>
    <w:uiPriority w:val="0"/>
  </w:style>
  <w:style w:type="character" w:customStyle="1" w:styleId="61">
    <w:name w:val="customize_project_code"/>
    <w:basedOn w:val="22"/>
    <w:qFormat/>
    <w:uiPriority w:val="0"/>
  </w:style>
  <w:style w:type="character" w:customStyle="1" w:styleId="62">
    <w:name w:val="customize_cgr"/>
    <w:basedOn w:val="22"/>
    <w:qFormat/>
    <w:uiPriority w:val="0"/>
  </w:style>
  <w:style w:type="character" w:customStyle="1" w:styleId="63">
    <w:name w:val="customize_agent"/>
    <w:basedOn w:val="22"/>
    <w:qFormat/>
    <w:uiPriority w:val="0"/>
  </w:style>
  <w:style w:type="character" w:customStyle="1" w:styleId="64">
    <w:name w:val="customize_cgrdz"/>
    <w:basedOn w:val="22"/>
    <w:qFormat/>
    <w:uiPriority w:val="0"/>
  </w:style>
  <w:style w:type="character" w:customStyle="1" w:styleId="65">
    <w:name w:val="customize_cgrdh"/>
    <w:basedOn w:val="22"/>
    <w:qFormat/>
    <w:uiPriority w:val="0"/>
  </w:style>
  <w:style w:type="character" w:customStyle="1" w:styleId="66">
    <w:name w:val="customize_agentadd"/>
    <w:basedOn w:val="22"/>
    <w:qFormat/>
    <w:uiPriority w:val="0"/>
  </w:style>
  <w:style w:type="character" w:customStyle="1" w:styleId="67">
    <w:name w:val="customize_agenttel"/>
    <w:basedOn w:val="22"/>
    <w:qFormat/>
    <w:uiPriority w:val="0"/>
  </w:style>
  <w:style w:type="character" w:customStyle="1" w:styleId="68">
    <w:name w:val="editlist"/>
    <w:basedOn w:val="22"/>
    <w:qFormat/>
    <w:uiPriority w:val="0"/>
  </w:style>
  <w:style w:type="character" w:customStyle="1" w:styleId="69">
    <w:name w:val="edittexttarea"/>
    <w:basedOn w:val="22"/>
    <w:qFormat/>
    <w:uiPriority w:val="0"/>
  </w:style>
  <w:style w:type="character" w:customStyle="1" w:styleId="70">
    <w:name w:val="editinput"/>
    <w:basedOn w:val="22"/>
    <w:qFormat/>
    <w:uiPriority w:val="0"/>
  </w:style>
  <w:style w:type="paragraph" w:styleId="71">
    <w:name w:val="List Paragraph"/>
    <w:basedOn w:val="1"/>
    <w:unhideWhenUsed/>
    <w:qFormat/>
    <w:uiPriority w:val="99"/>
    <w:pPr>
      <w:ind w:firstLine="420" w:firstLineChars="200"/>
    </w:pPr>
  </w:style>
  <w:style w:type="paragraph" w:customStyle="1" w:styleId="72">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73">
    <w:name w:val="font01"/>
    <w:basedOn w:val="22"/>
    <w:qFormat/>
    <w:uiPriority w:val="0"/>
    <w:rPr>
      <w:rFonts w:hint="eastAsia" w:ascii="宋体" w:hAnsi="宋体" w:eastAsia="宋体" w:cs="宋体"/>
      <w:color w:val="000000"/>
      <w:sz w:val="22"/>
      <w:szCs w:val="22"/>
      <w:u w:val="none"/>
    </w:rPr>
  </w:style>
  <w:style w:type="character" w:customStyle="1" w:styleId="74">
    <w:name w:val="font91"/>
    <w:basedOn w:val="22"/>
    <w:qFormat/>
    <w:uiPriority w:val="0"/>
    <w:rPr>
      <w:rFonts w:hint="default" w:ascii="Times New Roman" w:hAnsi="Times New Roman" w:cs="Times New Roman"/>
      <w:color w:val="000000"/>
      <w:sz w:val="22"/>
      <w:szCs w:val="22"/>
      <w:u w:val="none"/>
    </w:rPr>
  </w:style>
  <w:style w:type="character" w:customStyle="1" w:styleId="75">
    <w:name w:val="font81"/>
    <w:basedOn w:val="22"/>
    <w:qFormat/>
    <w:uiPriority w:val="0"/>
    <w:rPr>
      <w:rFonts w:hint="eastAsia" w:ascii="宋体" w:hAnsi="宋体" w:eastAsia="宋体" w:cs="宋体"/>
      <w:color w:val="000000"/>
      <w:sz w:val="22"/>
      <w:szCs w:val="22"/>
      <w:u w:val="none"/>
    </w:rPr>
  </w:style>
  <w:style w:type="character" w:customStyle="1" w:styleId="76">
    <w:name w:val="font61"/>
    <w:basedOn w:val="22"/>
    <w:qFormat/>
    <w:uiPriority w:val="0"/>
    <w:rPr>
      <w:rFonts w:hint="eastAsia" w:ascii="宋体" w:hAnsi="宋体" w:eastAsia="宋体" w:cs="宋体"/>
      <w:color w:val="000000"/>
      <w:sz w:val="22"/>
      <w:szCs w:val="22"/>
      <w:u w:val="none"/>
    </w:rPr>
  </w:style>
  <w:style w:type="character" w:customStyle="1" w:styleId="77">
    <w:name w:val="font121"/>
    <w:basedOn w:val="22"/>
    <w:qFormat/>
    <w:uiPriority w:val="0"/>
    <w:rPr>
      <w:rFonts w:hint="eastAsia" w:ascii="宋体" w:hAnsi="宋体" w:eastAsia="宋体" w:cs="宋体"/>
      <w:color w:val="FF0000"/>
      <w:sz w:val="22"/>
      <w:szCs w:val="22"/>
      <w:u w:val="none"/>
    </w:rPr>
  </w:style>
  <w:style w:type="character" w:customStyle="1" w:styleId="78">
    <w:name w:val="font131"/>
    <w:basedOn w:val="22"/>
    <w:qFormat/>
    <w:uiPriority w:val="0"/>
    <w:rPr>
      <w:rFonts w:ascii="方正书宋_GBK" w:hAnsi="方正书宋_GBK" w:eastAsia="方正书宋_GBK" w:cs="方正书宋_GBK"/>
      <w:color w:val="000000"/>
      <w:sz w:val="22"/>
      <w:szCs w:val="22"/>
      <w:u w:val="none"/>
    </w:rPr>
  </w:style>
  <w:style w:type="paragraph" w:styleId="79">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14</Pages>
  <Words>1933</Words>
  <Characters>2091</Characters>
  <Lines>60</Lines>
  <Paragraphs>17</Paragraphs>
  <TotalTime>0</TotalTime>
  <ScaleCrop>false</ScaleCrop>
  <LinksUpToDate>false</LinksUpToDate>
  <CharactersWithSpaces>2092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2022-08-24T10:49:00Z</dcterms:created>
  <dc:creator>李萍</dc:creator>
  <cp:lastModifiedBy>树莓</cp:lastModifiedBy>
  <cp:lastPrinted>2022-03-30T09:10:00Z</cp:lastPrinted>
  <dcterms:modified xsi:type="dcterms:W3CDTF">2026-07-24T08:26:37Z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30BA625E628C47309C99DAD707AB044B</vt:lpwstr>
  </property>
  <property fmtid="{D5CDD505-2E9C-101B-9397-08002B2CF9AE}" pid="4" name="KSOTemplateDocerSaveRecord">
    <vt:lpwstr>eyJoZGlkIjoiYmMwM2EwODI4YTgxYTFmNTJjZTY0NTRjOWQ5ZDg2NDEiLCJ1c2VySWQiOiI3MTgxNzQxNTcifQ==</vt:lpwstr>
  </property>
</Properties>
</file>